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1D" w:rsidRDefault="00992B1D">
      <w:pPr>
        <w:pStyle w:val="ConsPlusNormal"/>
        <w:jc w:val="both"/>
        <w:outlineLvl w:val="0"/>
      </w:pPr>
    </w:p>
    <w:p w:rsidR="00353566" w:rsidRDefault="00992B1D">
      <w:pPr>
        <w:pStyle w:val="ConsPlusTitle"/>
        <w:jc w:val="center"/>
        <w:outlineLvl w:val="0"/>
      </w:pPr>
      <w:r>
        <w:t xml:space="preserve">КОМИТЕТ </w:t>
      </w:r>
      <w:r w:rsidR="00353566">
        <w:t xml:space="preserve"> АДМИНИСТРАЦИИ  </w:t>
      </w:r>
      <w:proofErr w:type="gramStart"/>
      <w:r w:rsidR="00353566">
        <w:t>СМОЛЕНСКОГО</w:t>
      </w:r>
      <w:proofErr w:type="gramEnd"/>
      <w:r w:rsidR="00353566">
        <w:t xml:space="preserve"> РАЙОНА</w:t>
      </w:r>
      <w:r>
        <w:t xml:space="preserve">ПО ФИНАНСАМ, </w:t>
      </w:r>
    </w:p>
    <w:p w:rsidR="00992B1D" w:rsidRDefault="00992B1D">
      <w:pPr>
        <w:pStyle w:val="ConsPlusTitle"/>
        <w:jc w:val="center"/>
        <w:outlineLvl w:val="0"/>
      </w:pPr>
      <w:r>
        <w:t>НАЛОГОВОЙ И КРЕДИТНОЙ ПОЛИТИКЕ</w:t>
      </w:r>
    </w:p>
    <w:p w:rsidR="00992B1D" w:rsidRDefault="00992B1D">
      <w:pPr>
        <w:pStyle w:val="ConsPlusTitle"/>
        <w:jc w:val="center"/>
      </w:pPr>
    </w:p>
    <w:p w:rsidR="00353566" w:rsidRDefault="00353566">
      <w:pPr>
        <w:pStyle w:val="ConsPlusTitle"/>
        <w:jc w:val="center"/>
      </w:pPr>
    </w:p>
    <w:p w:rsidR="00992B1D" w:rsidRDefault="00992B1D">
      <w:pPr>
        <w:pStyle w:val="ConsPlusTitle"/>
        <w:jc w:val="center"/>
      </w:pPr>
      <w:r>
        <w:t>ПРИКАЗ</w:t>
      </w:r>
    </w:p>
    <w:p w:rsidR="00992B1D" w:rsidRDefault="00992B1D">
      <w:pPr>
        <w:pStyle w:val="ConsPlusTitle"/>
        <w:jc w:val="center"/>
      </w:pPr>
    </w:p>
    <w:p w:rsidR="00992B1D" w:rsidRDefault="00992B1D">
      <w:pPr>
        <w:pStyle w:val="ConsPlusTitle"/>
        <w:jc w:val="center"/>
      </w:pPr>
      <w:r>
        <w:t xml:space="preserve">от </w:t>
      </w:r>
      <w:r w:rsidRPr="00353566">
        <w:t xml:space="preserve">28 </w:t>
      </w:r>
      <w:r>
        <w:t xml:space="preserve">ноября2018 г. N </w:t>
      </w:r>
      <w:r w:rsidR="00353566">
        <w:t>9</w:t>
      </w:r>
    </w:p>
    <w:p w:rsidR="00992B1D" w:rsidRDefault="00992B1D">
      <w:pPr>
        <w:pStyle w:val="ConsPlusTitle"/>
        <w:jc w:val="center"/>
      </w:pPr>
    </w:p>
    <w:p w:rsidR="00992B1D" w:rsidRDefault="00992B1D">
      <w:pPr>
        <w:pStyle w:val="ConsPlusTitle"/>
        <w:jc w:val="center"/>
      </w:pPr>
      <w:r>
        <w:t>ОБ УТВЕРЖДЕНИИ ПОРЯДКА ОТРАЖЕНИЯ В БЮДЖЕТНОМ УЧЕТЕ ОПЕРАЦИЙ</w:t>
      </w:r>
    </w:p>
    <w:p w:rsidR="00992B1D" w:rsidRDefault="00992B1D">
      <w:pPr>
        <w:pStyle w:val="ConsPlusTitle"/>
        <w:jc w:val="center"/>
      </w:pPr>
      <w:r>
        <w:t>С ОБЪЕКТАМИ ИМУЩЕСТВА (НЕФИНАНСОВЫХ АКТИВОВ), СОСТАВЛЯЮЩИХ</w:t>
      </w:r>
    </w:p>
    <w:p w:rsidR="00992B1D" w:rsidRDefault="00992B1D">
      <w:pPr>
        <w:pStyle w:val="ConsPlusTitle"/>
        <w:jc w:val="center"/>
      </w:pPr>
      <w:r>
        <w:t xml:space="preserve">КАЗНУ </w:t>
      </w:r>
      <w:r w:rsidR="00156F79">
        <w:t xml:space="preserve">МУНИЦИПАЛЬНОГО ОБРАЗОВАНИЯ СМОЛЕНСКИИ РАЙОН </w:t>
      </w:r>
      <w:r>
        <w:t xml:space="preserve"> АЛТАЙСКОГО КРАЯ</w:t>
      </w:r>
    </w:p>
    <w:p w:rsidR="00992B1D" w:rsidRDefault="00992B1D">
      <w:pPr>
        <w:spacing w:after="1"/>
      </w:pPr>
    </w:p>
    <w:p w:rsidR="00992B1D" w:rsidRDefault="00992B1D">
      <w:pPr>
        <w:pStyle w:val="ConsPlusNormal"/>
        <w:jc w:val="both"/>
      </w:pPr>
    </w:p>
    <w:p w:rsidR="00992B1D" w:rsidRPr="00156F79" w:rsidRDefault="00992B1D">
      <w:pPr>
        <w:pStyle w:val="ConsPlusNormal"/>
        <w:ind w:firstLine="540"/>
        <w:jc w:val="both"/>
        <w:rPr>
          <w:color w:val="000000" w:themeColor="text1"/>
        </w:rPr>
      </w:pPr>
      <w:r>
        <w:t xml:space="preserve">В </w:t>
      </w:r>
      <w:r w:rsidRPr="00156F79">
        <w:rPr>
          <w:color w:val="000000" w:themeColor="text1"/>
        </w:rPr>
        <w:t xml:space="preserve">соответствии с </w:t>
      </w:r>
      <w:hyperlink r:id="rId4" w:history="1">
        <w:r w:rsidRPr="00156F79">
          <w:rPr>
            <w:color w:val="000000" w:themeColor="text1"/>
          </w:rPr>
          <w:t>пунктами 9</w:t>
        </w:r>
      </w:hyperlink>
      <w:r w:rsidRPr="00156F79">
        <w:rPr>
          <w:color w:val="000000" w:themeColor="text1"/>
        </w:rPr>
        <w:t xml:space="preserve">4, </w:t>
      </w:r>
      <w:hyperlink r:id="rId5" w:history="1">
        <w:r w:rsidRPr="00156F79">
          <w:rPr>
            <w:color w:val="000000" w:themeColor="text1"/>
          </w:rPr>
          <w:t>145</w:t>
        </w:r>
      </w:hyperlink>
      <w:r w:rsidRPr="00156F79">
        <w:rPr>
          <w:color w:val="000000" w:themeColor="text1"/>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приказываю:</w:t>
      </w:r>
    </w:p>
    <w:p w:rsidR="00992B1D" w:rsidRDefault="00992B1D">
      <w:pPr>
        <w:pStyle w:val="ConsPlusNormal"/>
        <w:spacing w:before="220"/>
        <w:ind w:firstLine="540"/>
        <w:jc w:val="both"/>
      </w:pPr>
      <w:r w:rsidRPr="00156F79">
        <w:rPr>
          <w:color w:val="000000" w:themeColor="text1"/>
        </w:rPr>
        <w:t xml:space="preserve">1. Утвердить </w:t>
      </w:r>
      <w:hyperlink w:anchor="P38" w:history="1">
        <w:r w:rsidRPr="00156F79">
          <w:rPr>
            <w:color w:val="000000" w:themeColor="text1"/>
          </w:rPr>
          <w:t>Порядок</w:t>
        </w:r>
      </w:hyperlink>
      <w:r w:rsidRPr="00156F79">
        <w:rPr>
          <w:color w:val="000000" w:themeColor="text1"/>
        </w:rPr>
        <w:t xml:space="preserve"> отражения в бюджетном учете операций с объектами имущества (нефинансовых активов), составляющих</w:t>
      </w:r>
      <w:r>
        <w:t xml:space="preserve"> казну </w:t>
      </w:r>
      <w:r w:rsidR="00156F79">
        <w:t>муниципального образования Смоленский район</w:t>
      </w:r>
      <w:r>
        <w:t xml:space="preserve">  Алтайского края (приложение).</w:t>
      </w:r>
    </w:p>
    <w:p w:rsidR="00156F79" w:rsidRDefault="00156F79">
      <w:pPr>
        <w:pStyle w:val="ConsPlusNormal"/>
        <w:spacing w:before="220"/>
        <w:ind w:firstLine="540"/>
        <w:jc w:val="both"/>
      </w:pPr>
      <w:r>
        <w:t>2</w:t>
      </w:r>
      <w:r w:rsidR="00992B1D">
        <w:t xml:space="preserve">. </w:t>
      </w:r>
      <w:r>
        <w:t>Настоящий приказ применяется к правоотношениям, возникшим с момента принятия объекта  к учету   в состав имущества казны.</w:t>
      </w:r>
    </w:p>
    <w:p w:rsidR="00992B1D" w:rsidRDefault="00156F79">
      <w:pPr>
        <w:pStyle w:val="ConsPlusNormal"/>
        <w:spacing w:before="220"/>
        <w:ind w:firstLine="540"/>
        <w:jc w:val="both"/>
      </w:pPr>
      <w:r>
        <w:t>3.</w:t>
      </w:r>
      <w:r w:rsidR="00992B1D">
        <w:t xml:space="preserve"> </w:t>
      </w:r>
      <w:r>
        <w:t>Опубликовать</w:t>
      </w:r>
      <w:r w:rsidR="00992B1D">
        <w:t xml:space="preserve"> приказ на официальном Интернет-сайте и довести до сведения главных распорядителей средств бюджета</w:t>
      </w:r>
      <w:r>
        <w:t xml:space="preserve"> района</w:t>
      </w:r>
      <w:r w:rsidR="00992B1D">
        <w:t>.</w:t>
      </w:r>
    </w:p>
    <w:p w:rsidR="00992B1D" w:rsidRDefault="00992B1D">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w:t>
      </w:r>
      <w:r w:rsidR="00156F79">
        <w:t>оставляю за собой.</w:t>
      </w:r>
    </w:p>
    <w:p w:rsidR="00156F79" w:rsidRDefault="00156F79">
      <w:pPr>
        <w:pStyle w:val="ConsPlusNormal"/>
        <w:spacing w:before="220"/>
        <w:ind w:firstLine="540"/>
        <w:jc w:val="both"/>
      </w:pPr>
    </w:p>
    <w:p w:rsidR="00992B1D" w:rsidRDefault="00992B1D">
      <w:pPr>
        <w:pStyle w:val="ConsPlusNormal"/>
        <w:jc w:val="both"/>
      </w:pPr>
    </w:p>
    <w:p w:rsidR="00156F79" w:rsidRDefault="00156F79">
      <w:pPr>
        <w:pStyle w:val="ConsPlusNormal"/>
        <w:jc w:val="both"/>
      </w:pPr>
      <w:r>
        <w:t>Председатель комитета</w:t>
      </w:r>
      <w:r>
        <w:tab/>
      </w:r>
      <w:r>
        <w:tab/>
      </w:r>
      <w:r>
        <w:tab/>
      </w:r>
      <w:r>
        <w:tab/>
      </w:r>
      <w:r>
        <w:tab/>
      </w:r>
      <w:r>
        <w:tab/>
        <w:t>Н.П.Булгакова</w:t>
      </w:r>
    </w:p>
    <w:p w:rsidR="00992B1D" w:rsidRDefault="00992B1D">
      <w:pPr>
        <w:pStyle w:val="ConsPlusNormal"/>
        <w:jc w:val="both"/>
      </w:pPr>
    </w:p>
    <w:p w:rsidR="00992B1D" w:rsidRDefault="00992B1D">
      <w:pPr>
        <w:pStyle w:val="ConsPlusNormal"/>
        <w:jc w:val="both"/>
      </w:pPr>
    </w:p>
    <w:p w:rsidR="00992B1D" w:rsidRDefault="00992B1D">
      <w:pPr>
        <w:pStyle w:val="ConsPlusNormal"/>
        <w:jc w:val="both"/>
      </w:pPr>
    </w:p>
    <w:p w:rsidR="00992B1D" w:rsidRDefault="00992B1D">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156F79" w:rsidRDefault="00156F79">
      <w:pPr>
        <w:pStyle w:val="ConsPlusNormal"/>
        <w:jc w:val="both"/>
      </w:pPr>
    </w:p>
    <w:p w:rsidR="00992B1D" w:rsidRDefault="00992B1D">
      <w:pPr>
        <w:pStyle w:val="ConsPlusNormal"/>
        <w:jc w:val="right"/>
        <w:outlineLvl w:val="0"/>
      </w:pPr>
      <w:r>
        <w:lastRenderedPageBreak/>
        <w:t>Приложение</w:t>
      </w:r>
    </w:p>
    <w:p w:rsidR="00992B1D" w:rsidRDefault="00992B1D">
      <w:pPr>
        <w:pStyle w:val="ConsPlusNormal"/>
        <w:jc w:val="right"/>
      </w:pPr>
      <w:r>
        <w:t>к Приказу</w:t>
      </w:r>
    </w:p>
    <w:p w:rsidR="00C81DA9" w:rsidRDefault="00992B1D">
      <w:pPr>
        <w:pStyle w:val="ConsPlusNormal"/>
        <w:jc w:val="right"/>
      </w:pPr>
      <w:r>
        <w:t xml:space="preserve">Комитета </w:t>
      </w:r>
      <w:r w:rsidR="00C81DA9">
        <w:t xml:space="preserve"> администрации </w:t>
      </w:r>
    </w:p>
    <w:p w:rsidR="00992B1D" w:rsidRDefault="00C81DA9">
      <w:pPr>
        <w:pStyle w:val="ConsPlusNormal"/>
        <w:jc w:val="right"/>
      </w:pPr>
      <w:r>
        <w:t xml:space="preserve">Смоленского района </w:t>
      </w:r>
      <w:r w:rsidR="00992B1D">
        <w:t>по финансам,</w:t>
      </w:r>
    </w:p>
    <w:p w:rsidR="00992B1D" w:rsidRDefault="00992B1D">
      <w:pPr>
        <w:pStyle w:val="ConsPlusNormal"/>
        <w:jc w:val="right"/>
      </w:pPr>
      <w:r>
        <w:t>налоговой и кредитной политике</w:t>
      </w:r>
    </w:p>
    <w:p w:rsidR="00992B1D" w:rsidRDefault="00992B1D">
      <w:pPr>
        <w:pStyle w:val="ConsPlusNormal"/>
        <w:jc w:val="right"/>
      </w:pPr>
      <w:r>
        <w:t xml:space="preserve">от </w:t>
      </w:r>
      <w:r w:rsidR="00C81DA9">
        <w:t>28</w:t>
      </w:r>
      <w:r>
        <w:t xml:space="preserve"> </w:t>
      </w:r>
      <w:r w:rsidR="00C81DA9">
        <w:t>ноября</w:t>
      </w:r>
      <w:r>
        <w:t xml:space="preserve"> 201</w:t>
      </w:r>
      <w:r w:rsidR="00C81DA9">
        <w:t>8</w:t>
      </w:r>
      <w:r>
        <w:t xml:space="preserve"> г. N</w:t>
      </w:r>
      <w:r w:rsidR="00353566">
        <w:t>9</w:t>
      </w:r>
    </w:p>
    <w:p w:rsidR="00992B1D" w:rsidRDefault="00992B1D">
      <w:pPr>
        <w:pStyle w:val="ConsPlusNormal"/>
        <w:jc w:val="both"/>
      </w:pPr>
    </w:p>
    <w:p w:rsidR="00992B1D" w:rsidRDefault="00992B1D">
      <w:pPr>
        <w:pStyle w:val="ConsPlusTitle"/>
        <w:jc w:val="center"/>
      </w:pPr>
      <w:bookmarkStart w:id="0" w:name="P38"/>
      <w:bookmarkEnd w:id="0"/>
      <w:r>
        <w:t>ПОРЯДОК</w:t>
      </w:r>
    </w:p>
    <w:p w:rsidR="00992B1D" w:rsidRDefault="00992B1D">
      <w:pPr>
        <w:pStyle w:val="ConsPlusTitle"/>
        <w:jc w:val="center"/>
      </w:pPr>
      <w:r>
        <w:t>ОТРАЖЕНИЯ В БЮДЖЕТНОМ УЧЕТЕ ОПЕРАЦИЙ С ОБЪЕКТАМИ ИМУЩЕСТВА</w:t>
      </w:r>
    </w:p>
    <w:p w:rsidR="00992B1D" w:rsidRDefault="00992B1D" w:rsidP="00FA4848">
      <w:pPr>
        <w:pStyle w:val="ConsPlusTitle"/>
        <w:jc w:val="center"/>
      </w:pPr>
      <w:r>
        <w:t xml:space="preserve">(НЕФИНАНСОВЫХ АКТИВОВ), СОСТАВЛЯЮЩИХ КАЗНУ </w:t>
      </w:r>
      <w:r w:rsidR="00FA4848">
        <w:t xml:space="preserve">МУНИЦИПАЛЬНОГО ОБРАЗОВАНИЯ СМОЛЕНСКИИ РАЙОН </w:t>
      </w:r>
      <w:r>
        <w:t>АЛТАЙСКОГО КРАЯ</w:t>
      </w:r>
    </w:p>
    <w:p w:rsidR="00992B1D" w:rsidRDefault="00992B1D">
      <w:pPr>
        <w:spacing w:after="1"/>
      </w:pPr>
    </w:p>
    <w:p w:rsidR="00992B1D" w:rsidRDefault="00992B1D">
      <w:pPr>
        <w:pStyle w:val="ConsPlusNormal"/>
        <w:jc w:val="both"/>
      </w:pPr>
    </w:p>
    <w:p w:rsidR="00992B1D" w:rsidRDefault="00992B1D">
      <w:pPr>
        <w:pStyle w:val="ConsPlusTitle"/>
        <w:jc w:val="center"/>
        <w:outlineLvl w:val="1"/>
      </w:pPr>
      <w:r>
        <w:t>1. Общие положения</w:t>
      </w:r>
    </w:p>
    <w:p w:rsidR="00992B1D" w:rsidRDefault="00992B1D">
      <w:pPr>
        <w:pStyle w:val="ConsPlusNormal"/>
        <w:jc w:val="both"/>
      </w:pPr>
    </w:p>
    <w:p w:rsidR="00992B1D" w:rsidRDefault="00992B1D">
      <w:pPr>
        <w:pStyle w:val="ConsPlusNormal"/>
        <w:ind w:firstLine="540"/>
        <w:jc w:val="both"/>
      </w:pPr>
      <w:r>
        <w:t xml:space="preserve">1.1. </w:t>
      </w:r>
      <w:proofErr w:type="gramStart"/>
      <w:r>
        <w:t xml:space="preserve">Настоящий Порядок разработан в соответствии с </w:t>
      </w:r>
      <w:hyperlink r:id="rId6" w:history="1">
        <w:r>
          <w:rPr>
            <w:color w:val="0000FF"/>
          </w:rPr>
          <w:t>приказом</w:t>
        </w:r>
      </w:hyperlink>
      <w:r>
        <w:t xml:space="preserve">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 </w:t>
      </w:r>
      <w:hyperlink r:id="rId7" w:history="1">
        <w:r>
          <w:rPr>
            <w:color w:val="0000FF"/>
          </w:rPr>
          <w:t>приказом</w:t>
        </w:r>
      </w:hyperlink>
      <w:r>
        <w:t xml:space="preserve"> Министерства финансов Российской Федерации от 06.12.2010 N 162н</w:t>
      </w:r>
      <w:proofErr w:type="gramEnd"/>
      <w:r>
        <w:t xml:space="preserve"> "Об утверждении Плана счетов бюджетного учета и Инструкции по его применению" (далее - Инструкция N 162н), </w:t>
      </w:r>
      <w:hyperlink r:id="rId8" w:history="1">
        <w:r>
          <w:rPr>
            <w:color w:val="0000FF"/>
          </w:rPr>
          <w:t>решением</w:t>
        </w:r>
      </w:hyperlink>
      <w:r w:rsidR="00B20CC2">
        <w:t xml:space="preserve"> Смоленского районного собрания депутатов Алтайского края</w:t>
      </w:r>
      <w:r>
        <w:t xml:space="preserve"> "Об утверждении Положения об</w:t>
      </w:r>
      <w:r w:rsidR="00B20CC2">
        <w:t xml:space="preserve"> учете муниципального имущества, составляющего муниципальную казну муниципального образования Смоленский район Алтайского края</w:t>
      </w:r>
      <w:proofErr w:type="gramStart"/>
      <w:r w:rsidR="00B20CC2">
        <w:t>.</w:t>
      </w:r>
      <w:proofErr w:type="gramEnd"/>
      <w:r>
        <w:t xml:space="preserve"> (</w:t>
      </w:r>
      <w:proofErr w:type="gramStart"/>
      <w:r>
        <w:t>д</w:t>
      </w:r>
      <w:proofErr w:type="gramEnd"/>
      <w:r>
        <w:t xml:space="preserve">алее - решение </w:t>
      </w:r>
      <w:r w:rsidR="00B20CC2">
        <w:t>собрания №3</w:t>
      </w:r>
      <w:r>
        <w:t xml:space="preserve">), устанавливает правила формирования в бюджетном учете информации об объектах имущества (нефинансовых активах), составляющих казну </w:t>
      </w:r>
      <w:r w:rsidR="00B20CC2">
        <w:t>муниципального образования Смоленский район Алтайского края</w:t>
      </w:r>
      <w:r>
        <w:t xml:space="preserve"> (далее - объекты имущества казны).</w:t>
      </w:r>
    </w:p>
    <w:p w:rsidR="00992B1D" w:rsidRDefault="00992B1D">
      <w:pPr>
        <w:pStyle w:val="ConsPlusNormal"/>
        <w:spacing w:before="220"/>
        <w:ind w:firstLine="540"/>
        <w:jc w:val="both"/>
      </w:pPr>
      <w:r>
        <w:t xml:space="preserve">1.2. </w:t>
      </w:r>
      <w:proofErr w:type="gramStart"/>
      <w:r>
        <w:t xml:space="preserve">Муниципальную казну </w:t>
      </w:r>
      <w:r w:rsidR="00CD2B6B">
        <w:t>муниципального образования</w:t>
      </w:r>
      <w:r>
        <w:t xml:space="preserve"> составляет недвижимое и движимое имущество, находящееся в муниципальной собственности </w:t>
      </w:r>
      <w:r w:rsidR="00CD2B6B">
        <w:t xml:space="preserve">муниципального образования Смоленский район </w:t>
      </w:r>
      <w:r>
        <w:t>Алтайского края, не закрепленное за органами местного самоуправления, казенными, бюджетными и автономными учреждениями, муниципальными унитарными предприятиями на праве оперативного управления или хозяйственного ведения, а также земельные участки и другие природные ресурсы, находящиеся в муниципальной собственности, не переданные органам местного самоуправления, казенным, бюджетным и</w:t>
      </w:r>
      <w:proofErr w:type="gramEnd"/>
      <w:r>
        <w:t xml:space="preserve"> автономным учреждениям, муниципальным унитарным предприятиям на праве постоянного (бессрочного) пользования.</w:t>
      </w:r>
    </w:p>
    <w:p w:rsidR="00992B1D" w:rsidRDefault="00992B1D">
      <w:pPr>
        <w:pStyle w:val="ConsPlusNormal"/>
        <w:spacing w:before="220"/>
        <w:ind w:firstLine="540"/>
        <w:jc w:val="both"/>
      </w:pPr>
      <w:r>
        <w:t>1.3. Бюджетный учет объектов имущества казны - упорядоченная система сбора, регистрации и обобщения информации в денежном выражении о состоянии нефинансовых активов и операциях, приводящих к изменению этих активов. Бюджетный учет отражает все факты состояния и движения имущества казны на основании первичных учетных документов с момента создания и на протяжении его использования в хронологическом порядке.</w:t>
      </w:r>
    </w:p>
    <w:p w:rsidR="00992B1D" w:rsidRDefault="00992B1D">
      <w:pPr>
        <w:pStyle w:val="ConsPlusNormal"/>
        <w:spacing w:before="220"/>
        <w:ind w:firstLine="540"/>
        <w:jc w:val="both"/>
      </w:pPr>
      <w:r>
        <w:t>Бюджетный учет объектов имущества казны осуществляется в целях:</w:t>
      </w:r>
    </w:p>
    <w:p w:rsidR="00992B1D" w:rsidRDefault="00992B1D">
      <w:pPr>
        <w:pStyle w:val="ConsPlusNormal"/>
        <w:spacing w:before="220"/>
        <w:ind w:firstLine="540"/>
        <w:jc w:val="both"/>
      </w:pPr>
      <w:r>
        <w:t xml:space="preserve">- обеспечения </w:t>
      </w:r>
      <w:proofErr w:type="spellStart"/>
      <w:r>
        <w:t>пообъектного</w:t>
      </w:r>
      <w:proofErr w:type="spellEnd"/>
      <w:r>
        <w:t xml:space="preserve"> учета объектов имущества казны;</w:t>
      </w:r>
    </w:p>
    <w:p w:rsidR="00992B1D" w:rsidRDefault="00992B1D">
      <w:pPr>
        <w:pStyle w:val="ConsPlusNormal"/>
        <w:spacing w:before="220"/>
        <w:ind w:firstLine="540"/>
        <w:jc w:val="both"/>
      </w:pPr>
      <w:r>
        <w:t>- формирования и поддержания в актуализированном состоянии информационной базы данных, содержащей достоверные сведения о составе и состоянии, стоимостных и иных характеристиках объектов имущества казны;</w:t>
      </w:r>
    </w:p>
    <w:p w:rsidR="00992B1D" w:rsidRDefault="00992B1D">
      <w:pPr>
        <w:pStyle w:val="ConsPlusNormal"/>
        <w:spacing w:before="220"/>
        <w:ind w:firstLine="540"/>
        <w:jc w:val="both"/>
      </w:pPr>
      <w:r>
        <w:t xml:space="preserve">- </w:t>
      </w:r>
      <w:proofErr w:type="gramStart"/>
      <w:r>
        <w:t>контроля за</w:t>
      </w:r>
      <w:proofErr w:type="gramEnd"/>
      <w:r>
        <w:t xml:space="preserve"> сохранностью, содержанием и использованием объектов имущества казны по целевому назначению.</w:t>
      </w:r>
    </w:p>
    <w:p w:rsidR="00992B1D" w:rsidRDefault="00992B1D">
      <w:pPr>
        <w:pStyle w:val="ConsPlusNormal"/>
        <w:spacing w:before="220"/>
        <w:ind w:firstLine="540"/>
        <w:jc w:val="both"/>
      </w:pPr>
      <w:r>
        <w:lastRenderedPageBreak/>
        <w:t>Бюджетный учет объектов имущества казны осуществляется органами местного самоуправления, наделенными соответствующими функциями.</w:t>
      </w:r>
    </w:p>
    <w:p w:rsidR="00992B1D" w:rsidRDefault="00992B1D">
      <w:pPr>
        <w:pStyle w:val="ConsPlusNormal"/>
        <w:jc w:val="both"/>
      </w:pPr>
    </w:p>
    <w:p w:rsidR="00992B1D" w:rsidRDefault="00992B1D">
      <w:pPr>
        <w:pStyle w:val="ConsPlusTitle"/>
        <w:jc w:val="center"/>
        <w:outlineLvl w:val="1"/>
      </w:pPr>
      <w:r>
        <w:t>2. Отражение в бюджетном учете операций с объектами</w:t>
      </w:r>
    </w:p>
    <w:p w:rsidR="00992B1D" w:rsidRDefault="00992B1D">
      <w:pPr>
        <w:pStyle w:val="ConsPlusTitle"/>
        <w:jc w:val="center"/>
      </w:pPr>
      <w:r>
        <w:t>имущества казны</w:t>
      </w:r>
    </w:p>
    <w:p w:rsidR="00992B1D" w:rsidRDefault="00992B1D">
      <w:pPr>
        <w:pStyle w:val="ConsPlusNormal"/>
        <w:jc w:val="both"/>
      </w:pPr>
    </w:p>
    <w:p w:rsidR="00992B1D" w:rsidRDefault="00992B1D">
      <w:pPr>
        <w:pStyle w:val="ConsPlusNormal"/>
        <w:ind w:firstLine="540"/>
        <w:jc w:val="both"/>
      </w:pPr>
      <w:r>
        <w:t xml:space="preserve">2.1. Учет объектов имущества (нефинансовых активов), составляющих муниципальную казну </w:t>
      </w:r>
      <w:r w:rsidR="00CD2B6B">
        <w:t>муниципального образования</w:t>
      </w:r>
      <w:r>
        <w:t xml:space="preserve">, ведется в разрезе материальных основных фондов, нематериальных основных фондов, </w:t>
      </w:r>
      <w:proofErr w:type="spellStart"/>
      <w:r>
        <w:t>непроизведенных</w:t>
      </w:r>
      <w:proofErr w:type="spellEnd"/>
      <w:r>
        <w:t xml:space="preserve"> активов и материальных запасов.</w:t>
      </w:r>
    </w:p>
    <w:p w:rsidR="00992B1D" w:rsidRDefault="00992B1D" w:rsidP="00992B1D">
      <w:pPr>
        <w:autoSpaceDE w:val="0"/>
        <w:autoSpaceDN w:val="0"/>
        <w:adjustRightInd w:val="0"/>
        <w:spacing w:after="0" w:line="240" w:lineRule="auto"/>
        <w:ind w:firstLine="540"/>
        <w:jc w:val="both"/>
        <w:rPr>
          <w:rFonts w:ascii="Calibri" w:hAnsi="Calibri" w:cs="Calibri"/>
        </w:rPr>
      </w:pPr>
      <w:r>
        <w:rPr>
          <w:rFonts w:ascii="Calibri" w:hAnsi="Calibri" w:cs="Calibri"/>
        </w:rPr>
        <w:t>2.2. Объекты имущества казны отражаются в бюджетном учете в стоимостном выражении без ведения инвентарного и аналитического учета.</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Бюджетный учет объектов имущества казны ведется в разрезе видов нефинансовых активов:</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1.108.51.000 "Недвижимое имущество, составляющее казну" (жилые помещения, нежилые помещения, сооружения);</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1.108.52.000 "Движимое имущество, составляющее казну" (машины и оборудование, транспортные средства, производственный и хозяйственный инвентарь, библиотечный фонд, прочие объекты казны);</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1.108.53.000 "Ценности государственных фондов России";</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1.108.54.000 "Нематериальные активы, составляющие казну" (исключительные права на результаты интеллектуальной деятельности, кинофильм, иное аудиовизуальное произведение, </w:t>
      </w:r>
      <w:proofErr w:type="spellStart"/>
      <w:r>
        <w:rPr>
          <w:rFonts w:ascii="Calibri" w:hAnsi="Calibri" w:cs="Calibri"/>
        </w:rPr>
        <w:t>мультимедийный</w:t>
      </w:r>
      <w:proofErr w:type="spellEnd"/>
      <w:r>
        <w:rPr>
          <w:rFonts w:ascii="Calibri" w:hAnsi="Calibri" w:cs="Calibri"/>
        </w:rPr>
        <w:t xml:space="preserve"> продукт, единая технология и т.п.);</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1.108.55.000 "</w:t>
      </w:r>
      <w:proofErr w:type="spellStart"/>
      <w:r>
        <w:rPr>
          <w:rFonts w:ascii="Calibri" w:hAnsi="Calibri" w:cs="Calibri"/>
        </w:rPr>
        <w:t>Непроизведенные</w:t>
      </w:r>
      <w:proofErr w:type="spellEnd"/>
      <w:r>
        <w:rPr>
          <w:rFonts w:ascii="Calibri" w:hAnsi="Calibri" w:cs="Calibri"/>
        </w:rPr>
        <w:t xml:space="preserve"> активы, составляющие казну" (земельные участки, недра и т.п.);</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1.108.56.000 "Материальные запасы, составляющие казну";</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1.108.57.000 "Прочие активы, составляющие казну";</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1.108.91.000 "Недвижимое имущество </w:t>
      </w:r>
      <w:proofErr w:type="spellStart"/>
      <w:r>
        <w:rPr>
          <w:rFonts w:ascii="Calibri" w:hAnsi="Calibri" w:cs="Calibri"/>
        </w:rPr>
        <w:t>концендента</w:t>
      </w:r>
      <w:proofErr w:type="spellEnd"/>
      <w:r>
        <w:rPr>
          <w:rFonts w:ascii="Calibri" w:hAnsi="Calibri" w:cs="Calibri"/>
        </w:rPr>
        <w:t>, составляющее казну";</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1.108.92.000 "Движимое имущество </w:t>
      </w:r>
      <w:proofErr w:type="spellStart"/>
      <w:r>
        <w:rPr>
          <w:rFonts w:ascii="Calibri" w:hAnsi="Calibri" w:cs="Calibri"/>
        </w:rPr>
        <w:t>концендента</w:t>
      </w:r>
      <w:proofErr w:type="spellEnd"/>
      <w:r>
        <w:rPr>
          <w:rFonts w:ascii="Calibri" w:hAnsi="Calibri" w:cs="Calibri"/>
        </w:rPr>
        <w:t>, составляющее казну";</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1.108.95.000 "</w:t>
      </w:r>
      <w:proofErr w:type="spellStart"/>
      <w:r>
        <w:rPr>
          <w:rFonts w:ascii="Calibri" w:hAnsi="Calibri" w:cs="Calibri"/>
        </w:rPr>
        <w:t>Непроизведенные</w:t>
      </w:r>
      <w:proofErr w:type="spellEnd"/>
      <w:r>
        <w:rPr>
          <w:rFonts w:ascii="Calibri" w:hAnsi="Calibri" w:cs="Calibri"/>
        </w:rPr>
        <w:t xml:space="preserve"> активы (земля) </w:t>
      </w:r>
      <w:proofErr w:type="spellStart"/>
      <w:r>
        <w:rPr>
          <w:rFonts w:ascii="Calibri" w:hAnsi="Calibri" w:cs="Calibri"/>
        </w:rPr>
        <w:t>концендента</w:t>
      </w:r>
      <w:proofErr w:type="spellEnd"/>
      <w:r>
        <w:rPr>
          <w:rFonts w:ascii="Calibri" w:hAnsi="Calibri" w:cs="Calibri"/>
        </w:rPr>
        <w:t>, составляющие казну".</w:t>
      </w:r>
    </w:p>
    <w:p w:rsidR="00992B1D" w:rsidRPr="00B235F1" w:rsidRDefault="00992B1D">
      <w:pPr>
        <w:pStyle w:val="ConsPlusNormal"/>
        <w:spacing w:before="220"/>
        <w:ind w:firstLine="540"/>
        <w:jc w:val="both"/>
      </w:pPr>
      <w:r w:rsidRPr="00B235F1">
        <w:t>2.3. Аналитический учет объектов имущества казны ведется в Реестре объектов муниципальной собственности</w:t>
      </w:r>
      <w:proofErr w:type="gramStart"/>
      <w:r w:rsidRPr="00B235F1">
        <w:t xml:space="preserve">  </w:t>
      </w:r>
      <w:r w:rsidR="00B235F1" w:rsidRPr="00B235F1">
        <w:t>.</w:t>
      </w:r>
      <w:proofErr w:type="gramEnd"/>
    </w:p>
    <w:p w:rsidR="00992B1D" w:rsidRDefault="00992B1D">
      <w:pPr>
        <w:pStyle w:val="ConsPlusNormal"/>
        <w:spacing w:before="220"/>
        <w:ind w:firstLine="540"/>
        <w:jc w:val="both"/>
      </w:pPr>
      <w:r>
        <w:t>2.</w:t>
      </w:r>
      <w:r w:rsidR="00375EC3" w:rsidRPr="00375EC3">
        <w:t>4</w:t>
      </w:r>
      <w:r>
        <w:t>. Учет вложений (инвестиций) в объеме фактических затрат учреждения в 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достройки, дооборудования) имущества казны ведется на счете 1.106.00.000 "Вложения в нефинансовые активы".</w:t>
      </w:r>
    </w:p>
    <w:p w:rsidR="00992B1D" w:rsidRDefault="00992B1D">
      <w:pPr>
        <w:pStyle w:val="ConsPlusNormal"/>
        <w:spacing w:before="220"/>
        <w:ind w:firstLine="540"/>
        <w:jc w:val="both"/>
      </w:pPr>
      <w:r>
        <w:t>Аналитический учет по счету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имущества казны.</w:t>
      </w:r>
    </w:p>
    <w:p w:rsidR="00B266D1" w:rsidRDefault="00B266D1" w:rsidP="00992B1D">
      <w:pPr>
        <w:autoSpaceDE w:val="0"/>
        <w:autoSpaceDN w:val="0"/>
        <w:adjustRightInd w:val="0"/>
        <w:spacing w:after="0" w:line="240" w:lineRule="auto"/>
        <w:ind w:firstLine="540"/>
        <w:jc w:val="both"/>
        <w:rPr>
          <w:rFonts w:ascii="Calibri" w:hAnsi="Calibri" w:cs="Calibri"/>
        </w:rPr>
      </w:pPr>
    </w:p>
    <w:p w:rsidR="00992B1D" w:rsidRDefault="00992B1D" w:rsidP="00992B1D">
      <w:pPr>
        <w:autoSpaceDE w:val="0"/>
        <w:autoSpaceDN w:val="0"/>
        <w:adjustRightInd w:val="0"/>
        <w:spacing w:after="0" w:line="240" w:lineRule="auto"/>
        <w:ind w:firstLine="540"/>
        <w:jc w:val="both"/>
        <w:rPr>
          <w:rFonts w:ascii="Calibri" w:hAnsi="Calibri" w:cs="Calibri"/>
        </w:rPr>
      </w:pPr>
      <w:r>
        <w:rPr>
          <w:rFonts w:ascii="Calibri" w:hAnsi="Calibri" w:cs="Calibri"/>
        </w:rPr>
        <w:t>2.</w:t>
      </w:r>
      <w:r w:rsidR="00375EC3" w:rsidRPr="00375EC3">
        <w:rPr>
          <w:rFonts w:ascii="Calibri" w:hAnsi="Calibri" w:cs="Calibri"/>
        </w:rPr>
        <w:t>5</w:t>
      </w:r>
      <w:r>
        <w:rPr>
          <w:rFonts w:ascii="Calibri" w:hAnsi="Calibri" w:cs="Calibri"/>
        </w:rPr>
        <w:t xml:space="preserve">. Первоначальная стоимость введенных в эксплуатацию объектов движимого имущества казны стоимостью до 10000 рублей включительно, за исключением библиотечного фонда, списывается с балансового учета с одновременным отражением объектов на </w:t>
      </w:r>
      <w:proofErr w:type="spellStart"/>
      <w:r>
        <w:rPr>
          <w:rFonts w:ascii="Calibri" w:hAnsi="Calibri" w:cs="Calibri"/>
        </w:rPr>
        <w:t>забалансовом</w:t>
      </w:r>
      <w:proofErr w:type="spellEnd"/>
      <w:r>
        <w:rPr>
          <w:rFonts w:ascii="Calibri" w:hAnsi="Calibri" w:cs="Calibri"/>
        </w:rPr>
        <w:t xml:space="preserve"> счете</w:t>
      </w:r>
      <w:proofErr w:type="gramStart"/>
      <w:r>
        <w:rPr>
          <w:rFonts w:ascii="Calibri" w:hAnsi="Calibri" w:cs="Calibri"/>
        </w:rPr>
        <w:t>."</w:t>
      </w:r>
      <w:proofErr w:type="gramEnd"/>
    </w:p>
    <w:p w:rsidR="00992B1D" w:rsidRDefault="00992B1D">
      <w:pPr>
        <w:pStyle w:val="ConsPlusNormal"/>
        <w:spacing w:before="220"/>
        <w:ind w:firstLine="540"/>
        <w:jc w:val="both"/>
      </w:pPr>
      <w:r>
        <w:lastRenderedPageBreak/>
        <w:t>2.</w:t>
      </w:r>
      <w:r w:rsidR="00375EC3" w:rsidRPr="00375EC3">
        <w:t>6</w:t>
      </w:r>
      <w:r>
        <w:t xml:space="preserve">. Срок полезного использования объектов нефинансовых активов в целях принятия к учету в состав объектов имущества казны и начисления амортизации определяется исходя </w:t>
      </w:r>
      <w:proofErr w:type="gramStart"/>
      <w:r>
        <w:t>из</w:t>
      </w:r>
      <w:proofErr w:type="gramEnd"/>
      <w:r>
        <w:t>:</w:t>
      </w:r>
    </w:p>
    <w:p w:rsidR="00992B1D" w:rsidRDefault="00992B1D">
      <w:pPr>
        <w:pStyle w:val="ConsPlusNormal"/>
        <w:spacing w:before="220"/>
        <w:ind w:firstLine="540"/>
        <w:jc w:val="both"/>
      </w:pPr>
      <w:r>
        <w:t xml:space="preserve">-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имущества казны, включенным </w:t>
      </w:r>
      <w:r w:rsidRPr="00B266D1">
        <w:rPr>
          <w:color w:val="000000" w:themeColor="text1"/>
        </w:rPr>
        <w:t xml:space="preserve">согласно </w:t>
      </w:r>
      <w:hyperlink r:id="rId9" w:history="1">
        <w:r w:rsidRPr="00B266D1">
          <w:rPr>
            <w:color w:val="000000" w:themeColor="text1"/>
          </w:rPr>
          <w:t>постановлению</w:t>
        </w:r>
      </w:hyperlink>
      <w:r w:rsidRPr="00B266D1">
        <w:rPr>
          <w:color w:val="000000" w:themeColor="text1"/>
        </w:rPr>
        <w:t xml:space="preserve"> Правительства Российской Федерации от 01.01.2002 N 1 "О Классификации основных средств, включаемых в амортизационные группы", в амортизационные группы с первой по девятую, срок полезного использования которых определяется по наибольшему сроку, установленному для указанных амортизационных групп. В десятой амортизационной группе срок полезного использования рассчитывается исходя из единых </w:t>
      </w:r>
      <w:hyperlink r:id="rId10" w:history="1">
        <w:r w:rsidRPr="00B266D1">
          <w:rPr>
            <w:color w:val="000000" w:themeColor="text1"/>
          </w:rPr>
          <w:t>норм</w:t>
        </w:r>
      </w:hyperlink>
      <w:r w:rsidRPr="00B266D1">
        <w:rPr>
          <w:color w:val="000000" w:themeColor="text1"/>
        </w:rPr>
        <w:t xml:space="preserve"> амортизацио</w:t>
      </w:r>
      <w:r>
        <w:t>нных отчислений на полное восстановление основных фондов народного хозяйства СССР, утвержденных постановлением Советов Министров СССР от 22.10.1990 N 1072;</w:t>
      </w:r>
    </w:p>
    <w:p w:rsidR="00992B1D" w:rsidRDefault="00992B1D">
      <w:pPr>
        <w:pStyle w:val="ConsPlusNormal"/>
        <w:spacing w:before="220"/>
        <w:ind w:firstLine="540"/>
        <w:jc w:val="both"/>
      </w:pPr>
      <w:r>
        <w:t>- рекомендаций, содержащихся в документах производителя, входящих в комплектацию объекта имущества казны, при отсутствии в законодательстве Российской Федерации норм, устанавливающих сроки полезного использования имущества в целях начисления амортизации.</w:t>
      </w:r>
    </w:p>
    <w:p w:rsidR="00992B1D" w:rsidRDefault="00992B1D">
      <w:pPr>
        <w:pStyle w:val="ConsPlusNormal"/>
        <w:spacing w:before="220"/>
        <w:ind w:firstLine="540"/>
        <w:jc w:val="both"/>
      </w:pPr>
      <w:r>
        <w:t>В случаях отсутствия информации в законодательстве Российской Федерации и в документах производителя - на основании решения комиссии по поступлению и выбытию нефинансовых активов с учетом:</w:t>
      </w:r>
    </w:p>
    <w:p w:rsidR="00992B1D" w:rsidRDefault="00992B1D">
      <w:pPr>
        <w:pStyle w:val="ConsPlusNormal"/>
        <w:spacing w:before="220"/>
        <w:ind w:firstLine="540"/>
        <w:jc w:val="both"/>
      </w:pPr>
      <w:r>
        <w:t>- ожидаемого срока использования этого объекта в соответствии с ожидаемой производительностью или мощностью;</w:t>
      </w:r>
    </w:p>
    <w:p w:rsidR="00992B1D" w:rsidRDefault="00992B1D">
      <w:pPr>
        <w:pStyle w:val="ConsPlusNormal"/>
        <w:spacing w:before="220"/>
        <w:ind w:firstLine="540"/>
        <w:jc w:val="both"/>
      </w:pPr>
      <w: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992B1D" w:rsidRDefault="00992B1D">
      <w:pPr>
        <w:pStyle w:val="ConsPlusNormal"/>
        <w:spacing w:before="220"/>
        <w:ind w:firstLine="540"/>
        <w:jc w:val="both"/>
      </w:pPr>
      <w:r>
        <w:t>- нормативно-правовых и других ограничений использования этого объекта;</w:t>
      </w:r>
    </w:p>
    <w:p w:rsidR="00992B1D" w:rsidRDefault="00992B1D">
      <w:pPr>
        <w:pStyle w:val="ConsPlusNormal"/>
        <w:spacing w:before="220"/>
        <w:ind w:firstLine="540"/>
        <w:jc w:val="both"/>
      </w:pPr>
      <w:r>
        <w:t>- гарантийного срока использования объекта;</w:t>
      </w:r>
    </w:p>
    <w:p w:rsidR="00992B1D" w:rsidRDefault="00992B1D">
      <w:pPr>
        <w:pStyle w:val="ConsPlusNormal"/>
        <w:spacing w:before="220"/>
        <w:ind w:firstLine="540"/>
        <w:jc w:val="both"/>
      </w:pPr>
      <w:r>
        <w:t>- сроков фактической эксплуатации и ранее начисленной суммы амортизации - для объектов, безвозмездно полученных от государственных и муниципальных учреждений и организаций.</w:t>
      </w:r>
    </w:p>
    <w:p w:rsidR="00992B1D" w:rsidRDefault="00992B1D">
      <w:pPr>
        <w:pStyle w:val="ConsPlusNormal"/>
        <w:spacing w:before="220"/>
        <w:ind w:firstLine="540"/>
        <w:jc w:val="both"/>
      </w:pPr>
      <w:r>
        <w:t xml:space="preserve">При принятии к учету в состав объектов имущества казны </w:t>
      </w:r>
      <w:proofErr w:type="spellStart"/>
      <w:r>
        <w:t>непроизведенных</w:t>
      </w:r>
      <w:proofErr w:type="spellEnd"/>
      <w:r>
        <w:t xml:space="preserve"> активов срок их полезного использования не устанавливается и определяется как бессрочный.</w:t>
      </w:r>
    </w:p>
    <w:p w:rsidR="00992B1D" w:rsidRDefault="00992B1D">
      <w:pPr>
        <w:pStyle w:val="ConsPlusNormal"/>
        <w:spacing w:before="220"/>
        <w:ind w:firstLine="540"/>
        <w:jc w:val="both"/>
      </w:pPr>
      <w:r>
        <w:t>2.</w:t>
      </w:r>
      <w:r w:rsidR="00375EC3" w:rsidRPr="00375EC3">
        <w:t>7</w:t>
      </w:r>
      <w:r>
        <w:t>. Поступление, выбытие и внутреннее перемещение объектов имущества казны оформляются следующими первичными документами:</w:t>
      </w:r>
    </w:p>
    <w:p w:rsidR="00992B1D" w:rsidRDefault="00992B1D">
      <w:pPr>
        <w:pStyle w:val="ConsPlusNormal"/>
        <w:spacing w:before="220"/>
        <w:ind w:firstLine="540"/>
        <w:jc w:val="both"/>
      </w:pPr>
      <w:r>
        <w:t xml:space="preserve">- </w:t>
      </w:r>
      <w:hyperlink r:id="rId11" w:history="1">
        <w:r>
          <w:rPr>
            <w:color w:val="0000FF"/>
          </w:rPr>
          <w:t>Акт</w:t>
        </w:r>
      </w:hyperlink>
      <w:r>
        <w:t xml:space="preserve"> о приеме-передаче объектов нефинансовых активов (ф. 0504101);</w:t>
      </w:r>
    </w:p>
    <w:p w:rsidR="00992B1D" w:rsidRDefault="00992B1D">
      <w:pPr>
        <w:pStyle w:val="ConsPlusNormal"/>
        <w:spacing w:before="220"/>
        <w:ind w:firstLine="540"/>
        <w:jc w:val="both"/>
      </w:pPr>
      <w:r>
        <w:t xml:space="preserve">- </w:t>
      </w:r>
      <w:hyperlink r:id="rId12" w:history="1">
        <w:r>
          <w:rPr>
            <w:color w:val="0000FF"/>
          </w:rPr>
          <w:t>Накладная</w:t>
        </w:r>
      </w:hyperlink>
      <w:r>
        <w:t xml:space="preserve"> на внутреннее перемещение объектов нефинансовых активов (ф. 0504102);</w:t>
      </w:r>
    </w:p>
    <w:p w:rsidR="00992B1D" w:rsidRDefault="00992B1D">
      <w:pPr>
        <w:pStyle w:val="ConsPlusNormal"/>
        <w:spacing w:before="220"/>
        <w:ind w:firstLine="540"/>
        <w:jc w:val="both"/>
      </w:pPr>
      <w:r>
        <w:t xml:space="preserve">- </w:t>
      </w:r>
      <w:hyperlink r:id="rId13" w:history="1">
        <w:r>
          <w:rPr>
            <w:color w:val="0000FF"/>
          </w:rPr>
          <w:t>Требование-накладная</w:t>
        </w:r>
      </w:hyperlink>
      <w:r>
        <w:t xml:space="preserve"> (ф. 0504204);</w:t>
      </w:r>
    </w:p>
    <w:p w:rsidR="00992B1D" w:rsidRDefault="00992B1D">
      <w:pPr>
        <w:pStyle w:val="ConsPlusNormal"/>
        <w:spacing w:before="220"/>
        <w:ind w:firstLine="540"/>
        <w:jc w:val="both"/>
      </w:pPr>
      <w:r>
        <w:t xml:space="preserve">- </w:t>
      </w:r>
      <w:hyperlink r:id="rId14" w:history="1">
        <w:r>
          <w:rPr>
            <w:color w:val="0000FF"/>
          </w:rPr>
          <w:t>Акт</w:t>
        </w:r>
      </w:hyperlink>
      <w:r>
        <w:t xml:space="preserve"> о списании объектов нефинансовых активов (кроме транспортных средств) (ф. 0504104);</w:t>
      </w:r>
    </w:p>
    <w:p w:rsidR="00992B1D" w:rsidRDefault="00992B1D">
      <w:pPr>
        <w:pStyle w:val="ConsPlusNormal"/>
        <w:spacing w:before="220"/>
        <w:ind w:firstLine="540"/>
        <w:jc w:val="both"/>
      </w:pPr>
      <w:r>
        <w:t xml:space="preserve">- </w:t>
      </w:r>
      <w:hyperlink r:id="rId15" w:history="1">
        <w:r>
          <w:rPr>
            <w:color w:val="0000FF"/>
          </w:rPr>
          <w:t>Акт</w:t>
        </w:r>
      </w:hyperlink>
      <w:r>
        <w:t xml:space="preserve"> о списании транспортного средства (ф. 0504105);</w:t>
      </w:r>
    </w:p>
    <w:p w:rsidR="00992B1D" w:rsidRDefault="00992B1D">
      <w:pPr>
        <w:pStyle w:val="ConsPlusNormal"/>
        <w:spacing w:before="220"/>
        <w:ind w:firstLine="540"/>
        <w:jc w:val="both"/>
      </w:pPr>
      <w:r>
        <w:t xml:space="preserve">- </w:t>
      </w:r>
      <w:hyperlink r:id="rId16" w:history="1">
        <w:r>
          <w:rPr>
            <w:color w:val="0000FF"/>
          </w:rPr>
          <w:t>Акт</w:t>
        </w:r>
      </w:hyperlink>
      <w:r>
        <w:t xml:space="preserve"> о списании мягкого и хозяйственного инвентаря (ф. 0504143) применяется для списания однородных предметов хозяйственного инвентаря;</w:t>
      </w:r>
    </w:p>
    <w:p w:rsidR="00992B1D" w:rsidRDefault="00992B1D">
      <w:pPr>
        <w:pStyle w:val="ConsPlusNormal"/>
        <w:spacing w:before="220"/>
        <w:ind w:firstLine="540"/>
        <w:jc w:val="both"/>
      </w:pPr>
      <w:r>
        <w:t xml:space="preserve">- </w:t>
      </w:r>
      <w:hyperlink r:id="rId17" w:history="1">
        <w:r>
          <w:rPr>
            <w:color w:val="0000FF"/>
          </w:rPr>
          <w:t>Акт</w:t>
        </w:r>
      </w:hyperlink>
      <w:r>
        <w:t xml:space="preserve"> о списании исключенных объектов библиотечного фонда (ф. 0504144) с приложением списков исключенных объектов библиотечного фонда;</w:t>
      </w:r>
    </w:p>
    <w:p w:rsidR="00992B1D" w:rsidRDefault="00992B1D">
      <w:pPr>
        <w:pStyle w:val="ConsPlusNormal"/>
        <w:spacing w:before="220"/>
        <w:ind w:firstLine="540"/>
        <w:jc w:val="both"/>
      </w:pPr>
      <w:r>
        <w:lastRenderedPageBreak/>
        <w:t xml:space="preserve">- </w:t>
      </w:r>
      <w:hyperlink r:id="rId18" w:history="1">
        <w:r>
          <w:rPr>
            <w:color w:val="0000FF"/>
          </w:rPr>
          <w:t>Акт</w:t>
        </w:r>
      </w:hyperlink>
      <w:r>
        <w:t xml:space="preserve"> о списании материальных запасов (ф. 0504230);</w:t>
      </w:r>
    </w:p>
    <w:p w:rsidR="00992B1D" w:rsidRDefault="00992B1D">
      <w:pPr>
        <w:pStyle w:val="ConsPlusNormal"/>
        <w:spacing w:before="220"/>
        <w:ind w:firstLine="540"/>
        <w:jc w:val="both"/>
      </w:pPr>
      <w:r>
        <w:t>- иные первичные документы, утвержденные учетной политикой органов местного самоуправления, наделенных соответствующими функциями.</w:t>
      </w:r>
    </w:p>
    <w:p w:rsidR="00992B1D" w:rsidRDefault="00992B1D">
      <w:pPr>
        <w:pStyle w:val="ConsPlusNormal"/>
        <w:spacing w:before="220"/>
        <w:ind w:firstLine="540"/>
        <w:jc w:val="both"/>
      </w:pPr>
      <w:r>
        <w:t>2.</w:t>
      </w:r>
      <w:r w:rsidR="00375EC3" w:rsidRPr="00375EC3">
        <w:t>8</w:t>
      </w:r>
      <w:r>
        <w:t>. Принятие к учету и выбытие из учета объектов недвижимого имущества, права на которые подлежат в соответствии с законодательством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rsidR="00992B1D" w:rsidRDefault="00992B1D">
      <w:pPr>
        <w:pStyle w:val="ConsPlusNormal"/>
        <w:spacing w:before="220"/>
        <w:ind w:firstLine="540"/>
        <w:jc w:val="both"/>
      </w:pPr>
      <w:r>
        <w:t>Объекты имущества казны принимаются к бюджетному учету по их первоначальной (фактической) стоимости, а земельные участки - по кадастровой стоимости.</w:t>
      </w:r>
    </w:p>
    <w:p w:rsidR="00992B1D" w:rsidRDefault="00992B1D">
      <w:pPr>
        <w:pStyle w:val="ConsPlusNormal"/>
        <w:spacing w:before="220"/>
        <w:ind w:firstLine="540"/>
        <w:jc w:val="both"/>
      </w:pPr>
      <w:r>
        <w:t>Первоначальной стоимостью объектов имущества казны признаются фактические вложения в их приобретение, за исключением объектов, впервые вовлекаемых в экономический (хозяйственный) оборот, первоначальной стоимостью которых признается их рыночная стоимость на дату принятия к бюджетному учету.</w:t>
      </w:r>
    </w:p>
    <w:p w:rsidR="00992B1D" w:rsidRDefault="00992B1D">
      <w:pPr>
        <w:pStyle w:val="ConsPlusNormal"/>
        <w:spacing w:before="220"/>
        <w:ind w:firstLine="540"/>
        <w:jc w:val="both"/>
      </w:pPr>
      <w:r>
        <w:t>Получение (передача) объектов имущества казны осуществляется по балансовой (фактической) стоимости с одновременной передачей (принятием к учету) суммы начисленной на объект нефинансового актива амортизации.</w:t>
      </w:r>
    </w:p>
    <w:p w:rsidR="00992B1D" w:rsidRDefault="00992B1D">
      <w:pPr>
        <w:pStyle w:val="ConsPlusNormal"/>
        <w:spacing w:before="220"/>
        <w:ind w:firstLine="540"/>
        <w:jc w:val="both"/>
      </w:pPr>
      <w:proofErr w:type="gramStart"/>
      <w:r>
        <w:t xml:space="preserve">Передача (возврат) объектов имущества казны в рамках возмездного (безвозмездного) пользования отражается на основании надлежаще оформленного первичного учетного документа и бухгалтерской записью путем внутреннего перемещения объекта, без списания передаваемого объекта с балансового учета и одновременным отражением переданного объекта на соответствующем </w:t>
      </w:r>
      <w:proofErr w:type="spellStart"/>
      <w:r>
        <w:t>забалансовом</w:t>
      </w:r>
      <w:proofErr w:type="spellEnd"/>
      <w:r>
        <w:t xml:space="preserve"> счете (</w:t>
      </w:r>
      <w:proofErr w:type="spellStart"/>
      <w:r>
        <w:t>забалансовый</w:t>
      </w:r>
      <w:proofErr w:type="spellEnd"/>
      <w:r>
        <w:t xml:space="preserve"> счет 25 "Имущество, переданное в возмездное пользование (аренду)", </w:t>
      </w:r>
      <w:proofErr w:type="spellStart"/>
      <w:r>
        <w:t>забалансовый</w:t>
      </w:r>
      <w:proofErr w:type="spellEnd"/>
      <w:r>
        <w:t xml:space="preserve"> счет 26 "Имущество, переданное в безвозмездное пользование").</w:t>
      </w:r>
      <w:proofErr w:type="gramEnd"/>
    </w:p>
    <w:p w:rsidR="00992B1D" w:rsidRDefault="00992B1D">
      <w:pPr>
        <w:pStyle w:val="ConsPlusNormal"/>
        <w:spacing w:before="220"/>
        <w:ind w:firstLine="540"/>
        <w:jc w:val="both"/>
      </w:pPr>
      <w:r>
        <w:t>Переоценка объектов имущества казны в целях отражения их в бюджетном учете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Российской Федерации.</w:t>
      </w:r>
    </w:p>
    <w:p w:rsidR="00992B1D" w:rsidRDefault="00992B1D">
      <w:pPr>
        <w:pStyle w:val="ConsPlusNormal"/>
        <w:spacing w:before="220"/>
        <w:ind w:firstLine="540"/>
        <w:jc w:val="both"/>
      </w:pPr>
      <w:r>
        <w:t>2.</w:t>
      </w:r>
      <w:r w:rsidR="00375EC3" w:rsidRPr="00375EC3">
        <w:t>9</w:t>
      </w:r>
      <w:r>
        <w:t>. Отражение в бюджетном учете операций с объектами имущества казны осуществляется по мере совершения операций и принятия к учету первичных документов.</w:t>
      </w:r>
    </w:p>
    <w:p w:rsidR="00992B1D" w:rsidRDefault="00992B1D">
      <w:pPr>
        <w:pStyle w:val="ConsPlusNormal"/>
        <w:spacing w:before="220"/>
        <w:ind w:firstLine="540"/>
        <w:jc w:val="both"/>
      </w:pPr>
      <w:r>
        <w:t>2.1</w:t>
      </w:r>
      <w:r w:rsidR="00375EC3">
        <w:rPr>
          <w:lang w:val="en-US"/>
        </w:rPr>
        <w:t>0</w:t>
      </w:r>
      <w:r>
        <w:t xml:space="preserve">. Органу, уполномоченному управлять муниципальным имуществом казны (органу, вступившему во владение бесхозяйным имуществом), следует отражать указанное имущество на </w:t>
      </w:r>
      <w:proofErr w:type="spellStart"/>
      <w:r>
        <w:t>забалансовом</w:t>
      </w:r>
      <w:proofErr w:type="spellEnd"/>
      <w:r>
        <w:t xml:space="preserve"> счете 01 "Имущество, полученное в пользование" (при условии наличия документов, подтверждающих факт получения данного имущества соответствующим органом).</w:t>
      </w:r>
    </w:p>
    <w:p w:rsidR="00992B1D" w:rsidRDefault="00992B1D">
      <w:pPr>
        <w:pStyle w:val="ConsPlusNormal"/>
        <w:spacing w:before="220"/>
        <w:ind w:firstLine="540"/>
        <w:jc w:val="both"/>
      </w:pPr>
      <w:r>
        <w:t xml:space="preserve">По факту признания права муниципальной собственности на бесхозное имущество информация об указанном имуществе отражается на соответствующих счетах аналитического учета счета 1.108.00.000 "Нефинансовые активы имущества казны" с одновременным уменьшением </w:t>
      </w:r>
      <w:proofErr w:type="spellStart"/>
      <w:r>
        <w:t>забалансового</w:t>
      </w:r>
      <w:proofErr w:type="spellEnd"/>
      <w:r>
        <w:t xml:space="preserve"> счета 01 "Имущество, полученное в пользование".</w:t>
      </w:r>
    </w:p>
    <w:p w:rsidR="00B266D1" w:rsidRDefault="00B266D1">
      <w:pPr>
        <w:pStyle w:val="ConsPlusTitle"/>
        <w:jc w:val="center"/>
        <w:outlineLvl w:val="1"/>
      </w:pPr>
    </w:p>
    <w:p w:rsidR="00992B1D" w:rsidRDefault="00992B1D">
      <w:pPr>
        <w:pStyle w:val="ConsPlusTitle"/>
        <w:jc w:val="center"/>
        <w:outlineLvl w:val="1"/>
      </w:pPr>
      <w:r>
        <w:t>3. Порядок начисления амортизации на объекты</w:t>
      </w:r>
    </w:p>
    <w:p w:rsidR="00992B1D" w:rsidRDefault="00992B1D">
      <w:pPr>
        <w:pStyle w:val="ConsPlusTitle"/>
        <w:jc w:val="center"/>
      </w:pPr>
      <w:r>
        <w:t>имущества казны</w:t>
      </w:r>
    </w:p>
    <w:p w:rsidR="00992B1D" w:rsidRDefault="00992B1D">
      <w:pPr>
        <w:pStyle w:val="ConsPlusNormal"/>
        <w:jc w:val="both"/>
      </w:pPr>
    </w:p>
    <w:p w:rsidR="00992B1D" w:rsidRDefault="00992B1D">
      <w:pPr>
        <w:pStyle w:val="ConsPlusNormal"/>
        <w:ind w:firstLine="540"/>
        <w:jc w:val="both"/>
      </w:pPr>
      <w:r>
        <w:t>3.1. По объектам основных средств, составляющих муниципальную казну, амортизация начисляется в следующем порядке:</w:t>
      </w:r>
    </w:p>
    <w:p w:rsidR="00992B1D" w:rsidRDefault="00992B1D" w:rsidP="00992B1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3.1.1. По объектам основных средств, составляющих муниципальную казну, амортизация начисляется в соответствии с </w:t>
      </w:r>
      <w:hyperlink r:id="rId19" w:history="1">
        <w:r>
          <w:rPr>
            <w:rFonts w:ascii="Calibri" w:hAnsi="Calibri" w:cs="Calibri"/>
            <w:color w:val="0000FF"/>
          </w:rPr>
          <w:t>приказом</w:t>
        </w:r>
      </w:hyperlink>
      <w:r>
        <w:rPr>
          <w:rFonts w:ascii="Calibri" w:hAnsi="Calibri" w:cs="Calibri"/>
        </w:rPr>
        <w:t xml:space="preserve">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3.1.2. По объектам нематериальных активов, составляющих казну, амортизация начисляется в следующем порядке:</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объекты стоимостью до 100000 рублей включительно амортизация начисляется в размере 100% балансовой стоимости при принятии объекта на учет;</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объекты стоимостью свыше 100000 рублей амортизация начисляется в соответствии с рассчитанными в установленном порядке нормами амортизации.</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3.1.3. На объекты </w:t>
      </w:r>
      <w:proofErr w:type="spellStart"/>
      <w:r>
        <w:rPr>
          <w:rFonts w:ascii="Calibri" w:hAnsi="Calibri" w:cs="Calibri"/>
        </w:rPr>
        <w:t>непроизведенных</w:t>
      </w:r>
      <w:proofErr w:type="spellEnd"/>
      <w:r>
        <w:rPr>
          <w:rFonts w:ascii="Calibri" w:hAnsi="Calibri" w:cs="Calibri"/>
        </w:rPr>
        <w:t xml:space="preserve"> активов в составе имущества казны амортизация не начисляется</w:t>
      </w:r>
      <w:proofErr w:type="gramStart"/>
      <w:r>
        <w:rPr>
          <w:rFonts w:ascii="Calibri" w:hAnsi="Calibri" w:cs="Calibri"/>
        </w:rPr>
        <w:t>.".</w:t>
      </w:r>
      <w:proofErr w:type="gramEnd"/>
    </w:p>
    <w:p w:rsidR="00992B1D" w:rsidRPr="00992B1D" w:rsidRDefault="00992B1D">
      <w:pPr>
        <w:pStyle w:val="ConsPlusNormal"/>
        <w:spacing w:before="220"/>
        <w:ind w:firstLine="540"/>
        <w:jc w:val="both"/>
        <w:rPr>
          <w:b/>
        </w:rPr>
      </w:pPr>
    </w:p>
    <w:p w:rsidR="00992B1D" w:rsidRDefault="00992B1D" w:rsidP="00992B1D">
      <w:pPr>
        <w:autoSpaceDE w:val="0"/>
        <w:autoSpaceDN w:val="0"/>
        <w:adjustRightInd w:val="0"/>
        <w:spacing w:after="0" w:line="240" w:lineRule="auto"/>
        <w:ind w:firstLine="540"/>
        <w:jc w:val="both"/>
        <w:rPr>
          <w:rFonts w:ascii="Calibri" w:hAnsi="Calibri" w:cs="Calibri"/>
        </w:rPr>
      </w:pPr>
      <w:r>
        <w:rPr>
          <w:rFonts w:ascii="Calibri" w:hAnsi="Calibri" w:cs="Calibri"/>
        </w:rPr>
        <w:t>3.2. Учет начисленной амортизации на объекты имущества казны ведется на следующих счетах:</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1.104.51.000 "Амортизация недвижимого имущества в составе имущества казны" (жилые помещения, нежилые помещения, сооружения);</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1.104.52.000 "Амортизация движимого имущества в составе имущества казны" (машины и оборудование, транспортные средства, производственный и хозяйственный инвентарь, библиотечный фонд, прочие объекты);</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1.104.54.000 "Амортизация нематериальных активов в составе имущества казны";</w:t>
      </w:r>
    </w:p>
    <w:p w:rsidR="00992B1D" w:rsidRDefault="00992B1D" w:rsidP="00992B1D">
      <w:pPr>
        <w:autoSpaceDE w:val="0"/>
        <w:autoSpaceDN w:val="0"/>
        <w:adjustRightInd w:val="0"/>
        <w:spacing w:before="220" w:after="0" w:line="240" w:lineRule="auto"/>
        <w:ind w:firstLine="540"/>
        <w:jc w:val="both"/>
        <w:rPr>
          <w:rFonts w:ascii="Calibri" w:hAnsi="Calibri" w:cs="Calibri"/>
        </w:rPr>
      </w:pPr>
      <w:r>
        <w:rPr>
          <w:rFonts w:ascii="Calibri" w:hAnsi="Calibri" w:cs="Calibri"/>
        </w:rPr>
        <w:t>1.104.59.000 "Амортизация имущества казны в концессии"</w:t>
      </w:r>
      <w:proofErr w:type="gramStart"/>
      <w:r>
        <w:rPr>
          <w:rFonts w:ascii="Calibri" w:hAnsi="Calibri" w:cs="Calibri"/>
        </w:rPr>
        <w:t>."</w:t>
      </w:r>
      <w:proofErr w:type="gramEnd"/>
      <w:r>
        <w:rPr>
          <w:rFonts w:ascii="Calibri" w:hAnsi="Calibri" w:cs="Calibri"/>
        </w:rPr>
        <w:t>.</w:t>
      </w:r>
    </w:p>
    <w:p w:rsidR="00992B1D" w:rsidRDefault="00992B1D">
      <w:pPr>
        <w:pStyle w:val="ConsPlusNormal"/>
        <w:spacing w:before="220"/>
        <w:ind w:firstLine="540"/>
        <w:jc w:val="both"/>
      </w:pPr>
      <w:r>
        <w:t xml:space="preserve">3.3. Расчет годовой </w:t>
      </w:r>
      <w:proofErr w:type="gramStart"/>
      <w:r>
        <w:t>суммы амортизации объектов имущества казны</w:t>
      </w:r>
      <w:proofErr w:type="gramEnd"/>
      <w:r>
        <w:t xml:space="preserve">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992B1D" w:rsidRDefault="00992B1D">
      <w:pPr>
        <w:pStyle w:val="ConsPlusNormal"/>
        <w:spacing w:before="220"/>
        <w:ind w:firstLine="540"/>
        <w:jc w:val="both"/>
      </w:pPr>
      <w:proofErr w:type="gramStart"/>
      <w:r>
        <w:t>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имущества казны,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линейным способом исходя из остаточной стоимости амортизируемого объекта на дату изменения срока полезного</w:t>
      </w:r>
      <w:proofErr w:type="gramEnd"/>
      <w:r>
        <w:t xml:space="preserve">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992B1D" w:rsidRDefault="00992B1D">
      <w:pPr>
        <w:pStyle w:val="ConsPlusNormal"/>
        <w:spacing w:before="220"/>
        <w:ind w:firstLine="540"/>
        <w:jc w:val="both"/>
      </w:pPr>
      <w:r>
        <w:t xml:space="preserve">Под остаточной стоимостью амортизируемого объекта имущества казны на соответствующую дату понимается балансовая стоимость объекта, уменьшенная на </w:t>
      </w:r>
      <w:proofErr w:type="gramStart"/>
      <w:r>
        <w:t>сумму начисленной на</w:t>
      </w:r>
      <w:proofErr w:type="gramEnd"/>
      <w:r>
        <w:t xml:space="preserve"> соответствующую дату амортизации.</w:t>
      </w:r>
    </w:p>
    <w:p w:rsidR="00992B1D" w:rsidRDefault="00992B1D">
      <w:pPr>
        <w:pStyle w:val="ConsPlusNormal"/>
        <w:spacing w:before="220"/>
        <w:ind w:firstLine="540"/>
        <w:jc w:val="both"/>
      </w:pPr>
      <w:r>
        <w:t>Под оставшимся сроком полезного использования на соответствующую дату понимается срок полезного использования амортизируемого объекта имущества казны, уменьшенный на срок его фактического использования на соответствующую дату.</w:t>
      </w:r>
    </w:p>
    <w:p w:rsidR="00992B1D" w:rsidRDefault="00992B1D">
      <w:pPr>
        <w:pStyle w:val="ConsPlusNormal"/>
        <w:spacing w:before="220"/>
        <w:ind w:firstLine="540"/>
        <w:jc w:val="both"/>
      </w:pPr>
      <w:r>
        <w:t>При принятии к учету объекта имущества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w:t>
      </w:r>
    </w:p>
    <w:p w:rsidR="00992B1D" w:rsidRDefault="00992B1D">
      <w:pPr>
        <w:pStyle w:val="ConsPlusNormal"/>
        <w:spacing w:before="220"/>
        <w:ind w:firstLine="540"/>
        <w:jc w:val="both"/>
      </w:pPr>
      <w:r>
        <w:t>В течение финансового года амортизация начисляется ежемесячно в размере 1/12 годовой суммы.</w:t>
      </w:r>
    </w:p>
    <w:p w:rsidR="00992B1D" w:rsidRDefault="00992B1D">
      <w:pPr>
        <w:pStyle w:val="ConsPlusNormal"/>
        <w:spacing w:before="220"/>
        <w:ind w:firstLine="540"/>
        <w:jc w:val="both"/>
      </w:pPr>
      <w:r>
        <w:t xml:space="preserve">В течение </w:t>
      </w:r>
      <w:proofErr w:type="gramStart"/>
      <w:r>
        <w:t>срока полезного использования амортизируемого объекта имущества казны</w:t>
      </w:r>
      <w:proofErr w:type="gramEnd"/>
      <w:r>
        <w:t xml:space="preserve"> </w:t>
      </w:r>
      <w:r>
        <w:lastRenderedPageBreak/>
        <w:t>начисление амортизации не приостанавливается, кроме случаев перевода объекта имущества казны на консервацию на срок более трех месяцев, а также в период восстановления объекта, продолжительность которого превышает 12 месяцев.</w:t>
      </w:r>
    </w:p>
    <w:p w:rsidR="00992B1D" w:rsidRDefault="00992B1D">
      <w:pPr>
        <w:pStyle w:val="ConsPlusNormal"/>
        <w:spacing w:before="220"/>
        <w:ind w:firstLine="540"/>
        <w:jc w:val="both"/>
      </w:pPr>
      <w:r>
        <w:t>3.4. Начисление амортизации начинается с первого числа месяца, следующего за месяцем принятия объекта имущества казны к бюджетному учету, и производится до полного погашения стоимости этого объекта либо его выбытия (в том числе по основанию списания объекта имущества казны с бухгалтерского учета).</w:t>
      </w:r>
    </w:p>
    <w:p w:rsidR="00992B1D" w:rsidRDefault="00992B1D">
      <w:pPr>
        <w:pStyle w:val="ConsPlusNormal"/>
        <w:spacing w:before="220"/>
        <w:ind w:firstLine="540"/>
        <w:jc w:val="both"/>
      </w:pPr>
      <w:r>
        <w:t>Начисление амортизации не может производиться свыше 100% стоимости амортизируемого объекта имущества казны.</w:t>
      </w:r>
    </w:p>
    <w:p w:rsidR="00992B1D" w:rsidRDefault="00992B1D">
      <w:pPr>
        <w:pStyle w:val="ConsPlusNormal"/>
        <w:spacing w:before="220"/>
        <w:ind w:firstLine="540"/>
        <w:jc w:val="both"/>
      </w:pPr>
      <w:r>
        <w:t>3.5. Начисление амортизации на объекты имущества казны прекращается с первого числа месяца, следующего за месяцем полного погашения стоимости объекта или за месяцем выбытия этого объекта с бюджетного учета.</w:t>
      </w:r>
    </w:p>
    <w:p w:rsidR="00992B1D" w:rsidRDefault="00992B1D">
      <w:pPr>
        <w:pStyle w:val="ConsPlusNormal"/>
        <w:spacing w:before="220"/>
        <w:ind w:firstLine="540"/>
        <w:jc w:val="both"/>
      </w:pPr>
      <w:r>
        <w:t>Начисленная в размере 100% стоимости амортизация на объекты имущества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992B1D" w:rsidRDefault="00992B1D">
      <w:pPr>
        <w:pStyle w:val="ConsPlusNormal"/>
        <w:jc w:val="both"/>
      </w:pPr>
    </w:p>
    <w:p w:rsidR="00992B1D" w:rsidRDefault="00992B1D">
      <w:pPr>
        <w:pStyle w:val="ConsPlusTitle"/>
        <w:jc w:val="center"/>
        <w:outlineLvl w:val="1"/>
      </w:pPr>
      <w:r>
        <w:t xml:space="preserve">4. </w:t>
      </w:r>
      <w:proofErr w:type="gramStart"/>
      <w:r>
        <w:t>Контроль за</w:t>
      </w:r>
      <w:proofErr w:type="gramEnd"/>
      <w:r>
        <w:t xml:space="preserve"> сохранностью и целевым использованием</w:t>
      </w:r>
    </w:p>
    <w:p w:rsidR="00992B1D" w:rsidRDefault="00992B1D">
      <w:pPr>
        <w:pStyle w:val="ConsPlusTitle"/>
        <w:jc w:val="center"/>
      </w:pPr>
      <w:r>
        <w:t>объектов имущества казны</w:t>
      </w:r>
    </w:p>
    <w:p w:rsidR="00992B1D" w:rsidRDefault="00992B1D">
      <w:pPr>
        <w:pStyle w:val="ConsPlusNormal"/>
        <w:jc w:val="both"/>
      </w:pPr>
    </w:p>
    <w:p w:rsidR="00992B1D" w:rsidRDefault="00992B1D">
      <w:pPr>
        <w:pStyle w:val="ConsPlusNormal"/>
        <w:ind w:firstLine="540"/>
        <w:jc w:val="both"/>
      </w:pPr>
      <w:r>
        <w:t>В целях организации бюджетного учета, для обеспечения достоверности данных учета объектов имущества казны, исходя из особенностей своей структуры, отраслевых и иных особенностей деятельности органы местного самоуправления, наделенные полномочиями по ведению бюджетного учета объектов имущества казны, самостоятельно определяют периодичность и полноту инвентаризации в рамках своей учетной политики.</w:t>
      </w:r>
    </w:p>
    <w:p w:rsidR="00992B1D" w:rsidRDefault="00992B1D">
      <w:pPr>
        <w:pStyle w:val="ConsPlusNormal"/>
        <w:spacing w:before="220"/>
        <w:ind w:firstLine="540"/>
        <w:jc w:val="both"/>
      </w:pPr>
      <w:r>
        <w:t>Инвентаризация объектов имущества казны проводится посредством сличения данных регистров бюджетного учета и Реестра объектов муниципальной собственности на отчетную дату.</w:t>
      </w:r>
    </w:p>
    <w:p w:rsidR="00992B1D" w:rsidRDefault="00992B1D">
      <w:pPr>
        <w:pStyle w:val="ConsPlusNormal"/>
        <w:spacing w:before="220"/>
        <w:ind w:firstLine="540"/>
        <w:jc w:val="both"/>
      </w:pPr>
      <w:r>
        <w:t>Данные регистров бюджетного учета об объектах имущества казны на отчетную дату должны соответствовать данным Реестра объектов муниципальной собственности.</w:t>
      </w:r>
    </w:p>
    <w:p w:rsidR="00992B1D" w:rsidRDefault="00992B1D">
      <w:pPr>
        <w:pStyle w:val="ConsPlusNormal"/>
        <w:spacing w:before="220"/>
        <w:ind w:firstLine="540"/>
        <w:jc w:val="both"/>
      </w:pPr>
      <w:r>
        <w:t>Результаты инвентаризации объектов имущества казны отражаются в учете и отчетности того месяца, в котором была закончена инвентаризация, а по годовой инвентаризации - в годовой бюджетной отчетности.</w:t>
      </w:r>
    </w:p>
    <w:p w:rsidR="00992B1D" w:rsidRDefault="00992B1D">
      <w:pPr>
        <w:pStyle w:val="ConsPlusNormal"/>
        <w:spacing w:before="220"/>
        <w:ind w:firstLine="540"/>
        <w:jc w:val="both"/>
      </w:pPr>
      <w:proofErr w:type="gramStart"/>
      <w:r>
        <w:t>Контроль за</w:t>
      </w:r>
      <w:proofErr w:type="gramEnd"/>
      <w:r>
        <w:t xml:space="preserve"> сохранностью и целевым использованием объектов имущества казны, переданного в пользование юридическим и физическим лицам, осуществляется на основании действующего законодательства и условий договоров о передаче имущества в пользование.</w:t>
      </w:r>
    </w:p>
    <w:p w:rsidR="00992B1D" w:rsidRDefault="00992B1D">
      <w:pPr>
        <w:pStyle w:val="ConsPlusNormal"/>
        <w:jc w:val="both"/>
      </w:pPr>
    </w:p>
    <w:p w:rsidR="00992B1D" w:rsidRDefault="00992B1D">
      <w:pPr>
        <w:pStyle w:val="ConsPlusNormal"/>
        <w:jc w:val="both"/>
      </w:pPr>
    </w:p>
    <w:p w:rsidR="00992B1D" w:rsidRDefault="00992B1D">
      <w:pPr>
        <w:pStyle w:val="ConsPlusNormal"/>
        <w:pBdr>
          <w:top w:val="single" w:sz="6" w:space="0" w:color="auto"/>
        </w:pBdr>
        <w:spacing w:before="100" w:after="100"/>
        <w:jc w:val="both"/>
        <w:rPr>
          <w:sz w:val="2"/>
          <w:szCs w:val="2"/>
        </w:rPr>
      </w:pPr>
    </w:p>
    <w:p w:rsidR="00F5271F" w:rsidRDefault="00F5271F"/>
    <w:sectPr w:rsidR="00F5271F" w:rsidSect="0035356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B1D"/>
    <w:rsid w:val="00156F79"/>
    <w:rsid w:val="001F7426"/>
    <w:rsid w:val="00353566"/>
    <w:rsid w:val="00375EC3"/>
    <w:rsid w:val="00721B99"/>
    <w:rsid w:val="00885BE8"/>
    <w:rsid w:val="00992B1D"/>
    <w:rsid w:val="00B03805"/>
    <w:rsid w:val="00B20CC2"/>
    <w:rsid w:val="00B235F1"/>
    <w:rsid w:val="00B266D1"/>
    <w:rsid w:val="00B703F6"/>
    <w:rsid w:val="00C81DA9"/>
    <w:rsid w:val="00CD2B6B"/>
    <w:rsid w:val="00F5271F"/>
    <w:rsid w:val="00FA4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2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2B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3A28A18F80A41486BD4BAFD2499C489B91987BA4AFE9DF37DE918A9C563030232A7DF89AADB1EF6571523E53099BFo0pFD" TargetMode="External"/><Relationship Id="rId13" Type="http://schemas.openxmlformats.org/officeDocument/2006/relationships/hyperlink" Target="consultantplus://offline/ref=AE63A28A18F80A41486BCAB7EB48C7C88DBA428EB74FF7CDAF22B245FECC6954457DFE8FCDFFDF19FF424073BF6794BC0F3450CF1A3603A4o0p4D" TargetMode="External"/><Relationship Id="rId18" Type="http://schemas.openxmlformats.org/officeDocument/2006/relationships/hyperlink" Target="consultantplus://offline/ref=AE63A28A18F80A41486BCAB7EB48C7C88DBA428EB74FF7CDAF22B245FECC6954457DFE8FCDFED51DFA424073BF6794BC0F3450CF1A3603A4o0p4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E63A28A18F80A41486BCAB7EB48C7C88DBB408EB44BF7CDAF22B245FECC6954577DA683CFF7C81DFF571622FAo3pAD" TargetMode="External"/><Relationship Id="rId12" Type="http://schemas.openxmlformats.org/officeDocument/2006/relationships/hyperlink" Target="consultantplus://offline/ref=AE63A28A18F80A41486BCAB7EB48C7C88DBA428EB74FF7CDAF22B245FECC6954457DFE8FCDFFD41AFE424073BF6794BC0F3450CF1A3603A4o0p4D" TargetMode="External"/><Relationship Id="rId17" Type="http://schemas.openxmlformats.org/officeDocument/2006/relationships/hyperlink" Target="consultantplus://offline/ref=AE63A28A18F80A41486BCAB7EB48C7C88DBA428EB74FF7CDAF22B245FECC6954457DFE8FCDFFD01CFC424073BF6794BC0F3450CF1A3603A4o0p4D" TargetMode="External"/><Relationship Id="rId2" Type="http://schemas.openxmlformats.org/officeDocument/2006/relationships/settings" Target="settings.xml"/><Relationship Id="rId16" Type="http://schemas.openxmlformats.org/officeDocument/2006/relationships/hyperlink" Target="consultantplus://offline/ref=AE63A28A18F80A41486BCAB7EB48C7C88DBA428EB74FF7CDAF22B245FECC6954457DFE8FCDFFD318F9424073BF6794BC0F3450CF1A3603A4o0p4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63A28A18F80A41486BCAB7EB48C7C88DBB4089B64BF7CDAF22B245FECC6954457DFE8FCDFFD114FB424073BF6794BC0F3450CF1A3603A4o0p4D" TargetMode="External"/><Relationship Id="rId11" Type="http://schemas.openxmlformats.org/officeDocument/2006/relationships/hyperlink" Target="consultantplus://offline/ref=AE63A28A18F80A41486BCAB7EB48C7C88DBA428EB74FF7CDAF22B245FECC6954457DFE8FCDFFD71AFD424073BF6794BC0F3450CF1A3603A4o0p4D" TargetMode="External"/><Relationship Id="rId5" Type="http://schemas.openxmlformats.org/officeDocument/2006/relationships/hyperlink" Target="consultantplus://offline/ref=AE63A28A18F80A41486BCAB7EB48C7C88DBB4089B64BF7CDAF22B245FECC6954457DFE8FCDFFDF1AFA424073BF6794BC0F3450CF1A3603A4o0p4D" TargetMode="External"/><Relationship Id="rId15" Type="http://schemas.openxmlformats.org/officeDocument/2006/relationships/hyperlink" Target="consultantplus://offline/ref=AE63A28A18F80A41486BCAB7EB48C7C88DBA428EB74FF7CDAF22B245FECC6954457DFE8FCDFFD21BFA424073BF6794BC0F3450CF1A3603A4o0p4D" TargetMode="External"/><Relationship Id="rId10" Type="http://schemas.openxmlformats.org/officeDocument/2006/relationships/hyperlink" Target="consultantplus://offline/ref=AE63A28A18F80A41486BCAB7EB48C7C88EBB458DB91CA0CFFE77BC40F69C21440B38F38ECDFCD217AA185077F63091A0062B4FCC0435o0pBD" TargetMode="External"/><Relationship Id="rId19" Type="http://schemas.openxmlformats.org/officeDocument/2006/relationships/hyperlink" Target="consultantplus://offline/ref=1A5FF7EB8DCECDF2A1B204B8475D09051E7613FBC72C8CFF902FC9CACB2CDB94C5C9E6E620C5E672DAD8FD72B4QFs5D" TargetMode="External"/><Relationship Id="rId4" Type="http://schemas.openxmlformats.org/officeDocument/2006/relationships/hyperlink" Target="consultantplus://offline/ref=AE63A28A18F80A41486BCAB7EB48C7C88DBB4089B64BF7CDAF22B245FECC6954457DFE8FCDFFD114FB424073BF6794BC0F3450CF1A3603A4o0p4D" TargetMode="External"/><Relationship Id="rId9" Type="http://schemas.openxmlformats.org/officeDocument/2006/relationships/hyperlink" Target="consultantplus://offline/ref=AE63A28A18F80A41486BCAB7EB48C7C88DBB4089BB42F7CDAF22B245FECC6954577DA683CFF7C81DFF571622FAo3pAD" TargetMode="External"/><Relationship Id="rId14" Type="http://schemas.openxmlformats.org/officeDocument/2006/relationships/hyperlink" Target="consultantplus://offline/ref=AE63A28A18F80A41486BCAB7EB48C7C88DBA428EB74FF7CDAF22B245FECC6954457DFE8FCDFFD514FF424073BF6794BC0F3450CF1A3603A4o0p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2</cp:revision>
  <cp:lastPrinted>2018-12-03T08:46:00Z</cp:lastPrinted>
  <dcterms:created xsi:type="dcterms:W3CDTF">2018-12-03T08:56:00Z</dcterms:created>
  <dcterms:modified xsi:type="dcterms:W3CDTF">2018-12-03T08:56:00Z</dcterms:modified>
</cp:coreProperties>
</file>