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82" w:rsidRPr="00EC7995" w:rsidRDefault="00224082" w:rsidP="00224082">
      <w:pPr>
        <w:jc w:val="center"/>
        <w:rPr>
          <w:b/>
          <w:sz w:val="24"/>
          <w:szCs w:val="24"/>
        </w:rPr>
      </w:pPr>
      <w:bookmarkStart w:id="0" w:name="_GoBack"/>
      <w:r w:rsidRPr="00EC7995">
        <w:rPr>
          <w:b/>
          <w:sz w:val="24"/>
          <w:szCs w:val="24"/>
        </w:rPr>
        <w:t xml:space="preserve">Информационное сообщение о </w:t>
      </w:r>
      <w:r w:rsidRPr="0018679F">
        <w:rPr>
          <w:b/>
          <w:sz w:val="24"/>
          <w:szCs w:val="24"/>
        </w:rPr>
        <w:t xml:space="preserve">проведении </w:t>
      </w:r>
      <w:r w:rsidR="0002637E" w:rsidRPr="0018679F">
        <w:rPr>
          <w:b/>
          <w:sz w:val="24"/>
          <w:szCs w:val="24"/>
        </w:rPr>
        <w:t>01</w:t>
      </w:r>
      <w:r w:rsidR="00B64BFF" w:rsidRPr="0018679F">
        <w:rPr>
          <w:b/>
          <w:sz w:val="24"/>
          <w:szCs w:val="24"/>
        </w:rPr>
        <w:t xml:space="preserve"> </w:t>
      </w:r>
      <w:r w:rsidR="0002637E" w:rsidRPr="0018679F">
        <w:rPr>
          <w:b/>
          <w:sz w:val="24"/>
          <w:szCs w:val="24"/>
        </w:rPr>
        <w:t>но</w:t>
      </w:r>
      <w:r w:rsidR="000F2590" w:rsidRPr="0018679F">
        <w:rPr>
          <w:b/>
          <w:sz w:val="24"/>
          <w:szCs w:val="24"/>
        </w:rPr>
        <w:t>ября</w:t>
      </w:r>
      <w:r w:rsidRPr="0018679F">
        <w:rPr>
          <w:b/>
          <w:sz w:val="24"/>
          <w:szCs w:val="24"/>
        </w:rPr>
        <w:t xml:space="preserve"> 2019 аукциона</w:t>
      </w:r>
      <w:r w:rsidRPr="00EC7995">
        <w:rPr>
          <w:b/>
          <w:sz w:val="24"/>
          <w:szCs w:val="24"/>
        </w:rPr>
        <w:t xml:space="preserve"> 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  <w:bookmarkEnd w:id="0"/>
    </w:p>
    <w:p w:rsidR="004D5B81" w:rsidRPr="00EC7995" w:rsidRDefault="004D5B81" w:rsidP="003379E6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4D7176" w:rsidRPr="0018679F">
        <w:rPr>
          <w:sz w:val="24"/>
          <w:szCs w:val="24"/>
        </w:rPr>
        <w:t>28</w:t>
      </w:r>
      <w:r w:rsidR="00B64BFF" w:rsidRPr="0018679F">
        <w:rPr>
          <w:sz w:val="24"/>
          <w:szCs w:val="24"/>
        </w:rPr>
        <w:t xml:space="preserve"> </w:t>
      </w:r>
      <w:r w:rsidR="000F2590" w:rsidRPr="0018679F">
        <w:rPr>
          <w:sz w:val="24"/>
          <w:szCs w:val="24"/>
        </w:rPr>
        <w:t>октя</w:t>
      </w:r>
      <w:r w:rsidR="00B64BFF" w:rsidRPr="0018679F">
        <w:rPr>
          <w:sz w:val="24"/>
          <w:szCs w:val="24"/>
        </w:rPr>
        <w:t>бря</w:t>
      </w:r>
      <w:r w:rsidR="00224082" w:rsidRPr="0018679F">
        <w:rPr>
          <w:sz w:val="24"/>
          <w:szCs w:val="24"/>
        </w:rPr>
        <w:t xml:space="preserve"> </w:t>
      </w:r>
      <w:r w:rsidR="00FC1B8C" w:rsidRPr="0018679F">
        <w:rPr>
          <w:sz w:val="24"/>
          <w:szCs w:val="24"/>
        </w:rPr>
        <w:t>201</w:t>
      </w:r>
      <w:r w:rsidR="00224082" w:rsidRPr="0018679F">
        <w:rPr>
          <w:sz w:val="24"/>
          <w:szCs w:val="24"/>
        </w:rPr>
        <w:t>9</w:t>
      </w:r>
      <w:r w:rsidR="00820EAC" w:rsidRPr="0018679F">
        <w:rPr>
          <w:sz w:val="24"/>
          <w:szCs w:val="24"/>
        </w:rPr>
        <w:t xml:space="preserve"> года аукциона</w:t>
      </w:r>
      <w:r w:rsidRPr="0018679F">
        <w:rPr>
          <w:sz w:val="24"/>
          <w:szCs w:val="24"/>
        </w:rPr>
        <w:t xml:space="preserve"> по п</w:t>
      </w:r>
      <w:r w:rsidR="004D0002" w:rsidRPr="0018679F">
        <w:rPr>
          <w:sz w:val="24"/>
          <w:szCs w:val="24"/>
        </w:rPr>
        <w:t>родаже муниципального имущества. Продажа имущества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4D0002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693"/>
        <w:gridCol w:w="1843"/>
      </w:tblGrid>
      <w:tr w:rsidR="00796C19" w:rsidRPr="005852DB" w:rsidTr="0018679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18679F" w:rsidRDefault="0018679F" w:rsidP="000F26D7">
            <w:pPr>
              <w:jc w:val="center"/>
              <w:rPr>
                <w:sz w:val="24"/>
                <w:szCs w:val="24"/>
              </w:rPr>
            </w:pPr>
            <w:r w:rsidRPr="0018679F">
              <w:rPr>
                <w:sz w:val="24"/>
                <w:szCs w:val="24"/>
              </w:rPr>
              <w:t>ГАЗ – 322121 автобус специальный для перевозки детей (11 мест), 2008 года выпуска, государственный регистрационный знак С480РЕ22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18679F">
              <w:rPr>
                <w:sz w:val="24"/>
                <w:szCs w:val="24"/>
              </w:rPr>
              <w:t>9632212190633973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Default="0018679F" w:rsidP="002C47F3">
            <w:pPr>
              <w:jc w:val="center"/>
              <w:rPr>
                <w:sz w:val="24"/>
                <w:szCs w:val="24"/>
              </w:rPr>
            </w:pPr>
          </w:p>
          <w:p w:rsidR="0018679F" w:rsidRDefault="0018679F" w:rsidP="002C47F3">
            <w:pPr>
              <w:jc w:val="center"/>
              <w:rPr>
                <w:sz w:val="24"/>
                <w:szCs w:val="24"/>
              </w:rPr>
            </w:pPr>
          </w:p>
          <w:p w:rsidR="0018679F" w:rsidRDefault="0018679F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Смоленский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Титова, 40</w:t>
            </w:r>
          </w:p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Default="0018679F" w:rsidP="002C47F3">
            <w:pPr>
              <w:jc w:val="center"/>
              <w:rPr>
                <w:sz w:val="24"/>
                <w:szCs w:val="24"/>
              </w:rPr>
            </w:pPr>
          </w:p>
          <w:p w:rsidR="0018679F" w:rsidRDefault="0018679F" w:rsidP="002C47F3">
            <w:pPr>
              <w:jc w:val="center"/>
              <w:rPr>
                <w:sz w:val="24"/>
                <w:szCs w:val="24"/>
              </w:rPr>
            </w:pPr>
          </w:p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2C47F3">
            <w:pPr>
              <w:jc w:val="center"/>
              <w:rPr>
                <w:sz w:val="24"/>
                <w:szCs w:val="24"/>
              </w:rPr>
            </w:pPr>
          </w:p>
          <w:p w:rsidR="0018679F" w:rsidRDefault="0018679F" w:rsidP="002C47F3">
            <w:pPr>
              <w:jc w:val="center"/>
              <w:rPr>
                <w:sz w:val="24"/>
                <w:szCs w:val="24"/>
              </w:rPr>
            </w:pPr>
          </w:p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852DB">
              <w:rPr>
                <w:sz w:val="24"/>
                <w:szCs w:val="24"/>
              </w:rPr>
              <w:t>орги пр</w:t>
            </w:r>
            <w:r>
              <w:rPr>
                <w:sz w:val="24"/>
                <w:szCs w:val="24"/>
              </w:rPr>
              <w:t>оводятся впервые</w:t>
            </w:r>
            <w:r w:rsidRPr="005852DB">
              <w:rPr>
                <w:sz w:val="24"/>
                <w:szCs w:val="24"/>
              </w:rPr>
              <w:t xml:space="preserve"> 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Pr="00EC7995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 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Pr="00EC79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E76695">
        <w:rPr>
          <w:sz w:val="24"/>
          <w:szCs w:val="24"/>
        </w:rPr>
        <w:t>59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E76695">
        <w:rPr>
          <w:sz w:val="24"/>
          <w:szCs w:val="24"/>
        </w:rPr>
        <w:t>6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.201</w:t>
      </w:r>
      <w:r w:rsidR="00E76695">
        <w:rPr>
          <w:sz w:val="24"/>
          <w:szCs w:val="24"/>
        </w:rPr>
        <w:t xml:space="preserve">8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 xml:space="preserve">б утверждении прогнозного </w:t>
      </w:r>
      <w:proofErr w:type="gramStart"/>
      <w:r w:rsidR="00185FFE">
        <w:rPr>
          <w:sz w:val="24"/>
          <w:szCs w:val="24"/>
        </w:rPr>
        <w:t>плана приватизации объектов муниципальной собственности муниципального образования</w:t>
      </w:r>
      <w:proofErr w:type="gramEnd"/>
      <w:r w:rsidR="00185FFE">
        <w:rPr>
          <w:sz w:val="24"/>
          <w:szCs w:val="24"/>
        </w:rPr>
        <w:t xml:space="preserve"> Смоленский район Алтайского края на 2019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EE1798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EE1798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185FFE">
        <w:rPr>
          <w:sz w:val="24"/>
          <w:szCs w:val="24"/>
        </w:rPr>
        <w:t>08</w:t>
      </w:r>
      <w:r w:rsidR="001E3210">
        <w:rPr>
          <w:sz w:val="24"/>
          <w:szCs w:val="24"/>
        </w:rPr>
        <w:t>.0</w:t>
      </w:r>
      <w:r w:rsidR="00185FFE">
        <w:rPr>
          <w:sz w:val="24"/>
          <w:szCs w:val="24"/>
        </w:rPr>
        <w:t>8</w:t>
      </w:r>
      <w:r w:rsidR="001E3210">
        <w:rPr>
          <w:sz w:val="24"/>
          <w:szCs w:val="24"/>
        </w:rPr>
        <w:t>.</w:t>
      </w:r>
      <w:r w:rsidR="00EE1798">
        <w:rPr>
          <w:sz w:val="24"/>
          <w:szCs w:val="24"/>
        </w:rPr>
        <w:t>2019</w:t>
      </w:r>
      <w:r w:rsidR="00185FFE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№</w:t>
      </w:r>
      <w:r w:rsidR="00AA66B4">
        <w:rPr>
          <w:sz w:val="24"/>
          <w:szCs w:val="24"/>
        </w:rPr>
        <w:t>8</w:t>
      </w:r>
      <w:r w:rsidR="00185FFE">
        <w:rPr>
          <w:sz w:val="24"/>
          <w:szCs w:val="24"/>
        </w:rPr>
        <w:t>59</w:t>
      </w:r>
      <w:r w:rsidR="00200C77" w:rsidRPr="00EC7995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Pr="00EC7995">
        <w:rPr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proofErr w:type="gramStart"/>
      <w:r w:rsidR="00185FFE">
        <w:rPr>
          <w:szCs w:val="24"/>
        </w:rPr>
        <w:t>с</w:t>
      </w:r>
      <w:proofErr w:type="gramEnd"/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proofErr w:type="spellStart"/>
      <w:r w:rsidR="00185FFE" w:rsidRPr="00185FFE">
        <w:rPr>
          <w:szCs w:val="24"/>
          <w:lang w:val="en-US"/>
        </w:rPr>
        <w:t>smladmzem</w:t>
      </w:r>
      <w:proofErr w:type="spellEnd"/>
      <w:r w:rsidR="00185FFE" w:rsidRPr="00185FFE">
        <w:rPr>
          <w:szCs w:val="24"/>
        </w:rPr>
        <w:t>@</w:t>
      </w:r>
      <w:proofErr w:type="spellStart"/>
      <w:r w:rsidR="00185FFE" w:rsidRPr="00185FFE">
        <w:rPr>
          <w:szCs w:val="24"/>
          <w:lang w:val="en-US"/>
        </w:rPr>
        <w:t>bk</w:t>
      </w:r>
      <w:proofErr w:type="spellEnd"/>
      <w:r w:rsidR="00185FFE" w:rsidRPr="00185FFE">
        <w:rPr>
          <w:szCs w:val="24"/>
        </w:rPr>
        <w:t>.</w:t>
      </w:r>
      <w:proofErr w:type="spellStart"/>
      <w:r w:rsidR="00185FFE" w:rsidRPr="00185FFE">
        <w:rPr>
          <w:szCs w:val="24"/>
          <w:lang w:val="en-US"/>
        </w:rPr>
        <w:t>ru</w:t>
      </w:r>
      <w:proofErr w:type="spellEnd"/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proofErr w:type="spellStart"/>
      <w:r w:rsidR="00185FFE">
        <w:rPr>
          <w:szCs w:val="24"/>
          <w:lang w:val="en-US"/>
        </w:rPr>
        <w:t>smladmzem</w:t>
      </w:r>
      <w:proofErr w:type="spellEnd"/>
      <w:r w:rsidR="00EE1798" w:rsidRPr="00EE1798">
        <w:rPr>
          <w:szCs w:val="24"/>
        </w:rPr>
        <w:t>@</w:t>
      </w:r>
      <w:proofErr w:type="spellStart"/>
      <w:r w:rsidR="00185FFE">
        <w:rPr>
          <w:szCs w:val="24"/>
          <w:lang w:val="en-US"/>
        </w:rPr>
        <w:t>bk</w:t>
      </w:r>
      <w:proofErr w:type="spellEnd"/>
      <w:r w:rsidR="00EE1798" w:rsidRPr="00EE1798">
        <w:rPr>
          <w:szCs w:val="24"/>
        </w:rPr>
        <w:t>.</w:t>
      </w:r>
      <w:proofErr w:type="spellStart"/>
      <w:r w:rsidR="00EE1798">
        <w:rPr>
          <w:szCs w:val="24"/>
          <w:lang w:val="en-US"/>
        </w:rPr>
        <w:t>ru</w:t>
      </w:r>
      <w:proofErr w:type="spellEnd"/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9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proofErr w:type="spellStart"/>
        <w:r w:rsidR="0042041A" w:rsidRPr="005533A0">
          <w:rPr>
            <w:rStyle w:val="a3"/>
            <w:lang w:val="en-US"/>
          </w:rPr>
          <w:t>rts</w:t>
        </w:r>
        <w:proofErr w:type="spellEnd"/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proofErr w:type="spellStart"/>
        <w:r w:rsidR="0042041A" w:rsidRPr="005533A0">
          <w:rPr>
            <w:rStyle w:val="a3"/>
            <w:lang w:val="en-US"/>
          </w:rPr>
          <w:t>ru</w:t>
        </w:r>
        <w:proofErr w:type="spellEnd"/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B64BFF">
        <w:rPr>
          <w:b/>
          <w:szCs w:val="24"/>
        </w:rPr>
        <w:t>:</w:t>
      </w:r>
      <w:r w:rsidR="00DE7157" w:rsidRPr="00B64BFF">
        <w:rPr>
          <w:szCs w:val="24"/>
        </w:rPr>
        <w:t xml:space="preserve"> </w:t>
      </w:r>
      <w:r w:rsidR="00281CA2">
        <w:rPr>
          <w:szCs w:val="24"/>
        </w:rPr>
        <w:t>04</w:t>
      </w:r>
      <w:r w:rsidR="00B16C24" w:rsidRPr="00B64BFF">
        <w:rPr>
          <w:szCs w:val="24"/>
        </w:rPr>
        <w:t xml:space="preserve"> </w:t>
      </w:r>
      <w:r w:rsidR="00281CA2">
        <w:rPr>
          <w:szCs w:val="24"/>
        </w:rPr>
        <w:t>окт</w:t>
      </w:r>
      <w:r w:rsidR="00403ABD">
        <w:rPr>
          <w:szCs w:val="24"/>
        </w:rPr>
        <w:t>ября</w:t>
      </w:r>
      <w:r w:rsidR="00B406EB" w:rsidRPr="00B64BFF">
        <w:rPr>
          <w:szCs w:val="24"/>
        </w:rPr>
        <w:t xml:space="preserve"> 201</w:t>
      </w:r>
      <w:r w:rsidR="00DC33BA" w:rsidRPr="00B64BFF">
        <w:rPr>
          <w:szCs w:val="24"/>
        </w:rPr>
        <w:t>9</w:t>
      </w:r>
      <w:r w:rsidR="00B406EB"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с 10 часов 00 минут по московскому времени</w:t>
      </w:r>
      <w:r w:rsidR="007E0F52" w:rsidRPr="00B64BFF">
        <w:rPr>
          <w:szCs w:val="24"/>
        </w:rPr>
        <w:t>.</w:t>
      </w:r>
    </w:p>
    <w:p w:rsidR="008F1B4C" w:rsidRPr="00B64BFF" w:rsidRDefault="008F1B4C" w:rsidP="004B78B5">
      <w:pPr>
        <w:pStyle w:val="210"/>
        <w:ind w:firstLine="709"/>
        <w:rPr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>Дата окончания подачи заявок</w:t>
      </w:r>
      <w:r w:rsidR="00800510" w:rsidRPr="00B64BFF">
        <w:rPr>
          <w:szCs w:val="24"/>
        </w:rPr>
        <w:t>:</w:t>
      </w:r>
      <w:r w:rsidR="00DE7157" w:rsidRPr="00B64BFF">
        <w:rPr>
          <w:szCs w:val="24"/>
        </w:rPr>
        <w:t xml:space="preserve"> </w:t>
      </w:r>
      <w:r w:rsidR="00281CA2">
        <w:rPr>
          <w:szCs w:val="24"/>
        </w:rPr>
        <w:t>28</w:t>
      </w:r>
      <w:r w:rsidR="00403ABD">
        <w:rPr>
          <w:szCs w:val="24"/>
        </w:rPr>
        <w:t xml:space="preserve"> </w:t>
      </w:r>
      <w:r w:rsidR="00D914FE">
        <w:rPr>
          <w:szCs w:val="24"/>
        </w:rPr>
        <w:t>октября</w:t>
      </w:r>
      <w:r w:rsidRPr="00B64BFF">
        <w:rPr>
          <w:szCs w:val="24"/>
        </w:rPr>
        <w:t xml:space="preserve"> 201</w:t>
      </w:r>
      <w:r w:rsidR="00DC33BA" w:rsidRPr="00B64BFF">
        <w:rPr>
          <w:szCs w:val="24"/>
        </w:rPr>
        <w:t>9</w:t>
      </w:r>
      <w:r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до 17 часов 00 минут по московскому времени включительно</w:t>
      </w:r>
      <w:r w:rsidRPr="00B64BFF">
        <w:rPr>
          <w:szCs w:val="24"/>
        </w:rPr>
        <w:t>.</w:t>
      </w: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Pr="00B64BFF">
        <w:rPr>
          <w:bCs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proofErr w:type="spellStart"/>
      <w:r w:rsidRPr="00B64BFF">
        <w:rPr>
          <w:sz w:val="24"/>
          <w:szCs w:val="24"/>
        </w:rPr>
        <w:t>www</w:t>
      </w:r>
      <w:proofErr w:type="spellEnd"/>
      <w:r w:rsidRPr="00B64BFF">
        <w:rPr>
          <w:sz w:val="24"/>
          <w:szCs w:val="24"/>
        </w:rPr>
        <w:t>.</w:t>
      </w:r>
      <w:r w:rsidRPr="00B64BFF">
        <w:t xml:space="preserve"> </w:t>
      </w:r>
      <w:proofErr w:type="spellStart"/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proofErr w:type="spellEnd"/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proofErr w:type="spellStart"/>
      <w:r w:rsidRPr="00B64BFF">
        <w:rPr>
          <w:sz w:val="24"/>
          <w:szCs w:val="24"/>
          <w:lang w:val="en-US"/>
        </w:rPr>
        <w:t>ru</w:t>
      </w:r>
      <w:proofErr w:type="spellEnd"/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Срок внесения задатка</w:t>
      </w:r>
      <w:r w:rsidRPr="00B64BFF">
        <w:rPr>
          <w:sz w:val="24"/>
          <w:szCs w:val="24"/>
        </w:rPr>
        <w:t xml:space="preserve">: с </w:t>
      </w:r>
      <w:r w:rsidR="00281CA2">
        <w:rPr>
          <w:sz w:val="24"/>
          <w:szCs w:val="24"/>
        </w:rPr>
        <w:t>04</w:t>
      </w:r>
      <w:r w:rsidR="005A5998" w:rsidRPr="00B64BFF">
        <w:rPr>
          <w:sz w:val="24"/>
          <w:szCs w:val="24"/>
        </w:rPr>
        <w:t xml:space="preserve"> </w:t>
      </w:r>
      <w:r w:rsidR="00281CA2">
        <w:rPr>
          <w:sz w:val="24"/>
          <w:szCs w:val="24"/>
        </w:rPr>
        <w:t>окт</w:t>
      </w:r>
      <w:r w:rsidR="0012568E">
        <w:rPr>
          <w:sz w:val="24"/>
          <w:szCs w:val="24"/>
        </w:rPr>
        <w:t>ября</w:t>
      </w:r>
      <w:r w:rsidR="005A5998" w:rsidRPr="00B64BFF">
        <w:rPr>
          <w:sz w:val="24"/>
          <w:szCs w:val="24"/>
        </w:rPr>
        <w:t xml:space="preserve"> </w:t>
      </w:r>
      <w:r w:rsidRPr="00B64BFF">
        <w:rPr>
          <w:sz w:val="24"/>
          <w:szCs w:val="24"/>
        </w:rPr>
        <w:t xml:space="preserve">2019 г. по </w:t>
      </w:r>
      <w:r w:rsidR="000A591E">
        <w:rPr>
          <w:sz w:val="24"/>
          <w:szCs w:val="24"/>
        </w:rPr>
        <w:t>2</w:t>
      </w:r>
      <w:r w:rsidR="00281CA2">
        <w:rPr>
          <w:sz w:val="24"/>
          <w:szCs w:val="24"/>
        </w:rPr>
        <w:t>8</w:t>
      </w:r>
      <w:r w:rsidR="005A5998" w:rsidRPr="00B64BFF">
        <w:rPr>
          <w:sz w:val="24"/>
          <w:szCs w:val="24"/>
        </w:rPr>
        <w:t xml:space="preserve"> </w:t>
      </w:r>
      <w:r w:rsidR="00D914FE">
        <w:rPr>
          <w:sz w:val="24"/>
          <w:szCs w:val="24"/>
        </w:rPr>
        <w:t>октября</w:t>
      </w:r>
      <w:r w:rsidRPr="00B64BFF">
        <w:rPr>
          <w:sz w:val="24"/>
          <w:szCs w:val="24"/>
        </w:rPr>
        <w:t xml:space="preserve"> 2019 г. включительно. 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Pr="00B64BFF">
        <w:rPr>
          <w:sz w:val="24"/>
          <w:szCs w:val="24"/>
        </w:rPr>
        <w:t xml:space="preserve"> </w:t>
      </w:r>
      <w:r w:rsidR="008149CA">
        <w:rPr>
          <w:sz w:val="24"/>
          <w:szCs w:val="24"/>
        </w:rPr>
        <w:t>3</w:t>
      </w:r>
      <w:r w:rsidR="00992701">
        <w:rPr>
          <w:sz w:val="24"/>
          <w:szCs w:val="24"/>
        </w:rPr>
        <w:t>1</w:t>
      </w:r>
      <w:r w:rsidRPr="00B64BFF">
        <w:rPr>
          <w:bCs/>
          <w:sz w:val="24"/>
          <w:szCs w:val="24"/>
        </w:rPr>
        <w:t xml:space="preserve"> </w:t>
      </w:r>
      <w:r w:rsidR="00D914FE">
        <w:rPr>
          <w:bCs/>
          <w:sz w:val="24"/>
          <w:szCs w:val="24"/>
        </w:rPr>
        <w:t>октября</w:t>
      </w:r>
      <w:r w:rsidRPr="00B64BFF">
        <w:rPr>
          <w:bCs/>
          <w:sz w:val="24"/>
          <w:szCs w:val="24"/>
        </w:rPr>
        <w:t xml:space="preserve"> 2019 г.</w:t>
      </w:r>
      <w:r w:rsidR="008F1B4C" w:rsidRPr="00B64BFF">
        <w:rPr>
          <w:bCs/>
          <w:sz w:val="24"/>
          <w:szCs w:val="24"/>
        </w:rPr>
        <w:t xml:space="preserve"> в 1</w:t>
      </w:r>
      <w:r w:rsidR="00992701">
        <w:rPr>
          <w:bCs/>
          <w:sz w:val="24"/>
          <w:szCs w:val="24"/>
        </w:rPr>
        <w:t>2</w:t>
      </w:r>
      <w:r w:rsidR="008F1B4C" w:rsidRPr="00B64BFF">
        <w:rPr>
          <w:bCs/>
          <w:sz w:val="24"/>
          <w:szCs w:val="24"/>
        </w:rPr>
        <w:t xml:space="preserve"> час. 00 мин. по московскому времени.</w:t>
      </w:r>
      <w:r w:rsidRPr="00B64BFF">
        <w:rPr>
          <w:bCs/>
          <w:sz w:val="24"/>
          <w:szCs w:val="24"/>
        </w:rPr>
        <w:t xml:space="preserve"> 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продажи):</w:t>
      </w:r>
      <w:r w:rsidRPr="00B64BFF">
        <w:rPr>
          <w:bCs/>
          <w:sz w:val="24"/>
          <w:szCs w:val="24"/>
        </w:rPr>
        <w:t xml:space="preserve"> </w:t>
      </w:r>
      <w:r w:rsidR="00992701">
        <w:rPr>
          <w:bCs/>
          <w:sz w:val="24"/>
          <w:szCs w:val="24"/>
        </w:rPr>
        <w:t>0</w:t>
      </w:r>
      <w:r w:rsidR="008149CA">
        <w:rPr>
          <w:bCs/>
          <w:sz w:val="24"/>
          <w:szCs w:val="24"/>
        </w:rPr>
        <w:t>1</w:t>
      </w:r>
      <w:r w:rsidRPr="00B64BFF">
        <w:rPr>
          <w:bCs/>
          <w:sz w:val="24"/>
          <w:szCs w:val="24"/>
        </w:rPr>
        <w:t xml:space="preserve"> </w:t>
      </w:r>
      <w:r w:rsidR="00992701">
        <w:rPr>
          <w:bCs/>
          <w:sz w:val="24"/>
          <w:szCs w:val="24"/>
        </w:rPr>
        <w:t>но</w:t>
      </w:r>
      <w:r w:rsidR="000F2590">
        <w:rPr>
          <w:bCs/>
          <w:sz w:val="24"/>
          <w:szCs w:val="24"/>
        </w:rPr>
        <w:t>я</w:t>
      </w:r>
      <w:r w:rsidR="005A5998" w:rsidRPr="00B64BFF">
        <w:rPr>
          <w:bCs/>
          <w:sz w:val="24"/>
          <w:szCs w:val="24"/>
        </w:rPr>
        <w:t>бря</w:t>
      </w:r>
      <w:r w:rsidRPr="00B64BFF">
        <w:rPr>
          <w:bCs/>
          <w:sz w:val="24"/>
          <w:szCs w:val="24"/>
        </w:rPr>
        <w:t xml:space="preserve"> 2019 г.</w:t>
      </w:r>
      <w:r w:rsidRPr="00B64BFF">
        <w:rPr>
          <w:sz w:val="24"/>
          <w:szCs w:val="24"/>
        </w:rPr>
        <w:t xml:space="preserve"> в </w:t>
      </w:r>
      <w:r w:rsidR="008F1B4C" w:rsidRPr="00B64BFF">
        <w:rPr>
          <w:bCs/>
          <w:sz w:val="24"/>
          <w:szCs w:val="24"/>
        </w:rPr>
        <w:t>11</w:t>
      </w:r>
      <w:r w:rsidRPr="00B64BFF">
        <w:rPr>
          <w:bCs/>
          <w:sz w:val="24"/>
          <w:szCs w:val="24"/>
        </w:rPr>
        <w:t>.00</w:t>
      </w:r>
      <w:r w:rsidRPr="00B64BFF">
        <w:rPr>
          <w:sz w:val="24"/>
          <w:szCs w:val="24"/>
        </w:rPr>
        <w:t xml:space="preserve"> по московскому времени</w:t>
      </w:r>
      <w:r w:rsidRPr="00B64BFF">
        <w:rPr>
          <w:bCs/>
          <w:sz w:val="24"/>
          <w:szCs w:val="24"/>
        </w:rPr>
        <w:t xml:space="preserve"> и</w:t>
      </w:r>
      <w:r w:rsidRPr="00B64BFF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</w:t>
      </w:r>
      <w:proofErr w:type="gramStart"/>
      <w:r w:rsidRPr="00EC7995">
        <w:rPr>
          <w:sz w:val="24"/>
          <w:szCs w:val="24"/>
        </w:rPr>
        <w:t>позднее</w:t>
      </w:r>
      <w:proofErr w:type="gramEnd"/>
      <w:r w:rsidRPr="00EC7995">
        <w:rPr>
          <w:sz w:val="24"/>
          <w:szCs w:val="24"/>
        </w:rPr>
        <w:t xml:space="preserve">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  <w:proofErr w:type="gramEnd"/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lastRenderedPageBreak/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915097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 </w:t>
      </w:r>
      <w:r w:rsidR="00FE76A3"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</w:t>
      </w:r>
      <w:proofErr w:type="gramStart"/>
      <w:r w:rsidRPr="00EC7995">
        <w:rPr>
          <w:sz w:val="24"/>
          <w:szCs w:val="24"/>
        </w:rPr>
        <w:t>,</w:t>
      </w:r>
      <w:proofErr w:type="gramEnd"/>
      <w:r w:rsidRPr="00EC7995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C7995">
        <w:rPr>
          <w:sz w:val="24"/>
          <w:szCs w:val="24"/>
        </w:rPr>
        <w:t>,</w:t>
      </w:r>
      <w:proofErr w:type="gramEnd"/>
      <w:r w:rsidRPr="00EC7995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  <w:r w:rsidR="004B78B5" w:rsidRPr="00EC7995">
        <w:rPr>
          <w:b/>
          <w:bCs/>
          <w:sz w:val="28"/>
          <w:szCs w:val="28"/>
        </w:rPr>
        <w:t xml:space="preserve"> 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C7995">
        <w:rPr>
          <w:sz w:val="24"/>
          <w:szCs w:val="24"/>
        </w:rPr>
        <w:t>бенефициарных</w:t>
      </w:r>
      <w:proofErr w:type="spellEnd"/>
      <w:r w:rsidRPr="00EC7995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EC7995">
        <w:rPr>
          <w:sz w:val="24"/>
          <w:szCs w:val="24"/>
        </w:rPr>
        <w:t xml:space="preserve">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lastRenderedPageBreak/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получатель: ООО «РТС-тендер»;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наименование банка: МОСКОВСКИЙ ФИЛИАЛ ПАО «СОВКОМБАНК» г. МОСКВА;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расчетный счет: 40702810600005001156;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 xml:space="preserve">- </w:t>
      </w:r>
      <w:proofErr w:type="spellStart"/>
      <w:r w:rsidRPr="00A24E5F">
        <w:rPr>
          <w:sz w:val="24"/>
          <w:szCs w:val="24"/>
        </w:rPr>
        <w:t>кор</w:t>
      </w:r>
      <w:proofErr w:type="gramStart"/>
      <w:r w:rsidRPr="00A24E5F">
        <w:rPr>
          <w:sz w:val="24"/>
          <w:szCs w:val="24"/>
        </w:rPr>
        <w:t>.с</w:t>
      </w:r>
      <w:proofErr w:type="gramEnd"/>
      <w:r w:rsidRPr="00A24E5F">
        <w:rPr>
          <w:sz w:val="24"/>
          <w:szCs w:val="24"/>
        </w:rPr>
        <w:t>чет</w:t>
      </w:r>
      <w:proofErr w:type="spellEnd"/>
      <w:r w:rsidRPr="00A24E5F">
        <w:rPr>
          <w:sz w:val="24"/>
          <w:szCs w:val="24"/>
        </w:rPr>
        <w:t>: 30101810945250000967;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lastRenderedPageBreak/>
        <w:t>- БИК 044525967, ИНН 7710357167;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КПП 773001001;</w:t>
      </w:r>
    </w:p>
    <w:p w:rsidR="002B5A90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назначение платежа: </w:t>
      </w:r>
      <w:r w:rsidR="002B5A90" w:rsidRPr="00EC7995">
        <w:rPr>
          <w:bCs/>
          <w:sz w:val="24"/>
          <w:szCs w:val="24"/>
        </w:rPr>
        <w:t>задаток для участия в аукционе по продаже</w:t>
      </w:r>
      <w:r w:rsidR="002B5A90" w:rsidRPr="00EC7995">
        <w:rPr>
          <w:sz w:val="24"/>
          <w:szCs w:val="24"/>
        </w:rPr>
        <w:t xml:space="preserve"> </w:t>
      </w:r>
      <w:r w:rsidR="005F111A" w:rsidRPr="00EC7995">
        <w:rPr>
          <w:sz w:val="24"/>
          <w:szCs w:val="24"/>
        </w:rPr>
        <w:t>движимого имущества</w:t>
      </w:r>
      <w:r w:rsidR="007C52F5" w:rsidRPr="00EC7995">
        <w:rPr>
          <w:sz w:val="24"/>
          <w:szCs w:val="24"/>
        </w:rPr>
        <w:t>.</w:t>
      </w:r>
    </w:p>
    <w:p w:rsidR="007C52F5" w:rsidRDefault="007C52F5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</w:t>
      </w:r>
      <w:r w:rsidR="002B5A90" w:rsidRPr="00EC7995">
        <w:rPr>
          <w:bCs/>
          <w:sz w:val="24"/>
          <w:szCs w:val="24"/>
        </w:rPr>
        <w:br/>
        <w:t>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>при признан</w:t>
      </w:r>
      <w:proofErr w:type="gramStart"/>
      <w:r w:rsidR="0005774C" w:rsidRPr="00EC7995">
        <w:rPr>
          <w:bCs/>
          <w:sz w:val="24"/>
          <w:szCs w:val="24"/>
        </w:rPr>
        <w:t>ии ау</w:t>
      </w:r>
      <w:proofErr w:type="gramEnd"/>
      <w:r w:rsidR="0005774C" w:rsidRPr="00EC7995">
        <w:rPr>
          <w:bCs/>
          <w:sz w:val="24"/>
          <w:szCs w:val="24"/>
        </w:rPr>
        <w:t xml:space="preserve">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при отказе от проведения аукциона - 5 (пяти) календарных дней </w:t>
      </w:r>
      <w:proofErr w:type="gramStart"/>
      <w:r w:rsidRPr="00EC7995">
        <w:rPr>
          <w:bCs/>
          <w:sz w:val="24"/>
          <w:szCs w:val="24"/>
        </w:rPr>
        <w:t>с даты принятия</w:t>
      </w:r>
      <w:proofErr w:type="gramEnd"/>
      <w:r w:rsidRPr="00EC7995">
        <w:rPr>
          <w:bCs/>
          <w:sz w:val="24"/>
          <w:szCs w:val="24"/>
        </w:rPr>
        <w:t xml:space="preserve">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42041A" w:rsidRPr="0042041A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42041A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EC7995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 xml:space="preserve">В течение 5 (пяти) рабочих дней </w:t>
      </w:r>
      <w:proofErr w:type="gramStart"/>
      <w:r w:rsidRPr="00EC7995">
        <w:rPr>
          <w:sz w:val="24"/>
          <w:szCs w:val="24"/>
          <w:lang w:eastAsia="ar-SA"/>
        </w:rPr>
        <w:t>с даты подведения</w:t>
      </w:r>
      <w:proofErr w:type="gramEnd"/>
      <w:r w:rsidRPr="00EC7995">
        <w:rPr>
          <w:sz w:val="24"/>
          <w:szCs w:val="24"/>
          <w:lang w:eastAsia="ar-SA"/>
        </w:rPr>
        <w:t xml:space="preserve">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 xml:space="preserve">В течение 10 (десяти) рабочих дней </w:t>
      </w:r>
      <w:proofErr w:type="gramStart"/>
      <w:r w:rsidRPr="00EC7995">
        <w:rPr>
          <w:sz w:val="24"/>
          <w:szCs w:val="24"/>
          <w:lang w:eastAsia="ar-SA"/>
        </w:rPr>
        <w:t>с даты заключения</w:t>
      </w:r>
      <w:proofErr w:type="gramEnd"/>
      <w:r w:rsidRPr="00EC7995">
        <w:rPr>
          <w:sz w:val="24"/>
          <w:szCs w:val="24"/>
          <w:lang w:eastAsia="ar-SA"/>
        </w:rPr>
        <w:t xml:space="preserve">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получатель платежа: </w:t>
      </w:r>
      <w:proofErr w:type="gramStart"/>
      <w:r w:rsidR="0042041A" w:rsidRPr="0042041A">
        <w:rPr>
          <w:color w:val="000000"/>
          <w:sz w:val="24"/>
          <w:szCs w:val="24"/>
        </w:rPr>
        <w:t>ИНН 2271003351, КПП 227101001, УФК по Алтайскому краю (Управление по земельным и имущественным отношениям Администрации Смоленского района Алтайского края) в ОТДЕЛЕНИИ БАРНАУЛ г. Барнаул, БИК 040173001, код ОКТМО 01640000, расчетный счет получателя №40101810350041010001, код бюджетной классификации (КБК) 16611402053050000410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  <w:proofErr w:type="gramEnd"/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lastRenderedPageBreak/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proofErr w:type="gramStart"/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1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42041A">
        <w:rPr>
          <w:sz w:val="24"/>
          <w:szCs w:val="24"/>
        </w:rPr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2" w:history="1"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D95AFF" w:rsidRPr="005852D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  <w:proofErr w:type="gramEnd"/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5F111A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3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proofErr w:type="spellStart"/>
        <w:r w:rsidR="0042041A" w:rsidRPr="005533A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752C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3C" w:rsidRDefault="001E323C" w:rsidP="006948B5">
      <w:r>
        <w:separator/>
      </w:r>
    </w:p>
  </w:endnote>
  <w:endnote w:type="continuationSeparator" w:id="0">
    <w:p w:rsidR="001E323C" w:rsidRDefault="001E323C" w:rsidP="0069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3C" w:rsidRDefault="001E323C" w:rsidP="006948B5">
      <w:r>
        <w:separator/>
      </w:r>
    </w:p>
  </w:footnote>
  <w:footnote w:type="continuationSeparator" w:id="0">
    <w:p w:rsidR="001E323C" w:rsidRDefault="001E323C" w:rsidP="0069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4566E"/>
    <w:rsid w:val="00145893"/>
    <w:rsid w:val="0015048D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5414E"/>
    <w:rsid w:val="00254EBA"/>
    <w:rsid w:val="0025781E"/>
    <w:rsid w:val="00262735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12296"/>
    <w:rsid w:val="003205C9"/>
    <w:rsid w:val="003237FE"/>
    <w:rsid w:val="00330315"/>
    <w:rsid w:val="0033735F"/>
    <w:rsid w:val="003379E6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90A52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4332A"/>
    <w:rsid w:val="0065364E"/>
    <w:rsid w:val="0065661B"/>
    <w:rsid w:val="00657002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E1504"/>
    <w:rsid w:val="006F35BD"/>
    <w:rsid w:val="006F6AB0"/>
    <w:rsid w:val="00731BB5"/>
    <w:rsid w:val="0073444E"/>
    <w:rsid w:val="00736A17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1A61"/>
    <w:rsid w:val="00874323"/>
    <w:rsid w:val="008806F8"/>
    <w:rsid w:val="00885709"/>
    <w:rsid w:val="008907B1"/>
    <w:rsid w:val="00893BD9"/>
    <w:rsid w:val="00893D4A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12910"/>
    <w:rsid w:val="00C15437"/>
    <w:rsid w:val="00C207E8"/>
    <w:rsid w:val="00C22276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709E"/>
    <w:rsid w:val="00CD3F0E"/>
    <w:rsid w:val="00CE1BB4"/>
    <w:rsid w:val="00CF0DD5"/>
    <w:rsid w:val="00CF186C"/>
    <w:rsid w:val="00CF569B"/>
    <w:rsid w:val="00D01CBE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E2747"/>
    <w:rsid w:val="00DE35D7"/>
    <w:rsid w:val="00DE7157"/>
    <w:rsid w:val="00DF10E0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ladmzem@b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9;&#1084;&#1086;&#1083;&#1077;&#1085;&#1089;&#1082;&#1080;&#1081;-&#1088;&#1072;&#1081;&#1086;&#1085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89E1-E427-424D-BF0E-382755D3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RePack by Diakov</cp:lastModifiedBy>
  <cp:revision>84</cp:revision>
  <cp:lastPrinted>2019-09-29T08:28:00Z</cp:lastPrinted>
  <dcterms:created xsi:type="dcterms:W3CDTF">2019-09-24T09:47:00Z</dcterms:created>
  <dcterms:modified xsi:type="dcterms:W3CDTF">2019-10-03T11:33:00Z</dcterms:modified>
</cp:coreProperties>
</file>