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7155B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15D48" w:rsidTr="0027155B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BA4496" w:rsidP="004A04E9">
      <w:pPr>
        <w:spacing w:after="0"/>
        <w:rPr>
          <w:rFonts w:ascii="Times New Roman" w:hAnsi="Times New Roman" w:cs="Times New Roman"/>
          <w:lang w:val="en-US"/>
        </w:rPr>
      </w:pPr>
      <w:r w:rsidRPr="00BA449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15D48" w:rsidTr="0027155B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proofErr w:type="gramStart"/>
      <w:r w:rsidR="00FB51BB">
        <w:rPr>
          <w:b/>
          <w:sz w:val="28"/>
          <w:szCs w:val="28"/>
        </w:rPr>
        <w:t>Верх-Обского</w:t>
      </w:r>
      <w:proofErr w:type="spellEnd"/>
      <w:proofErr w:type="gramEnd"/>
      <w:r w:rsidR="00FB51BB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>.12.202</w:t>
      </w:r>
      <w:r w:rsidR="00792DB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792DBB">
        <w:rPr>
          <w:b/>
          <w:sz w:val="28"/>
          <w:szCs w:val="28"/>
        </w:rPr>
        <w:t>25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proofErr w:type="spellStart"/>
      <w:r w:rsidR="00FB51BB">
        <w:rPr>
          <w:b/>
          <w:sz w:val="28"/>
          <w:szCs w:val="28"/>
        </w:rPr>
        <w:t>Верх-Обск</w:t>
      </w:r>
      <w:r w:rsidR="000A3215">
        <w:rPr>
          <w:b/>
          <w:sz w:val="28"/>
          <w:szCs w:val="28"/>
        </w:rPr>
        <w:t>ого</w:t>
      </w:r>
      <w:proofErr w:type="spellEnd"/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792DB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792DB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5D48">
        <w:rPr>
          <w:rFonts w:ascii="Times New Roman" w:hAnsi="Times New Roman" w:cs="Times New Roman"/>
          <w:sz w:val="28"/>
          <w:szCs w:val="28"/>
        </w:rPr>
        <w:t xml:space="preserve"> 10</w:t>
      </w:r>
      <w:r w:rsidR="00792DBB">
        <w:rPr>
          <w:rFonts w:ascii="Times New Roman" w:hAnsi="Times New Roman" w:cs="Times New Roman"/>
          <w:sz w:val="28"/>
          <w:szCs w:val="28"/>
        </w:rPr>
        <w:t xml:space="preserve"> </w:t>
      </w:r>
      <w:r w:rsidR="00C15D48">
        <w:rPr>
          <w:rFonts w:ascii="Times New Roman" w:hAnsi="Times New Roman" w:cs="Times New Roman"/>
          <w:sz w:val="28"/>
          <w:szCs w:val="28"/>
        </w:rPr>
        <w:t>сентября</w:t>
      </w:r>
      <w:r w:rsidR="00496761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92DB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C81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Собранием депутатов </w:t>
      </w:r>
      <w:proofErr w:type="spellStart"/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Верх-Обского</w:t>
      </w:r>
      <w:proofErr w:type="spellEnd"/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Верх-Обский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proofErr w:type="gram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C15D4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15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2 640,7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6663" w:rsidP="00C15D4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15D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2 640,7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496761" w:rsidP="0049676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C038E0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2C2A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8E0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22C2A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6761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2 640,7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12 455,2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2 640,7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48,4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8 088,3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2 640,7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15D48">
        <w:rPr>
          <w:rFonts w:ascii="Times New Roman" w:eastAsia="Times New Roman" w:hAnsi="Times New Roman" w:cs="Times New Roman"/>
          <w:sz w:val="28"/>
          <w:szCs w:val="28"/>
          <w:lang w:eastAsia="ru-RU"/>
        </w:rPr>
        <w:t>12 709,2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366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254,0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0748E" w:rsidP="0049676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12 455,2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0748E" w:rsidP="0049676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12 709,2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254,0</w:t>
            </w:r>
          </w:p>
        </w:tc>
      </w:tr>
    </w:tbl>
    <w:p w:rsidR="0043279F" w:rsidRDefault="0043279F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9E6699" w:rsidRDefault="00843D8C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3279F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6761" w:rsidRPr="00DD5D36" w:rsidRDefault="0099423D" w:rsidP="00A43C7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D3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DD5D36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DD5D36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E36663" w:rsidRPr="00DD5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761" w:rsidRPr="00DD5D36">
        <w:rPr>
          <w:rFonts w:ascii="Times New Roman" w:hAnsi="Times New Roman" w:cs="Times New Roman"/>
          <w:bCs/>
          <w:sz w:val="28"/>
          <w:szCs w:val="28"/>
        </w:rPr>
        <w:t>не изменятся</w:t>
      </w:r>
      <w:r w:rsidR="00E36663" w:rsidRPr="00DD5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 w:rsidRPr="00DD5D36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 w:rsidRPr="00DD5D36">
        <w:rPr>
          <w:rFonts w:ascii="Times New Roman" w:hAnsi="Times New Roman" w:cs="Times New Roman"/>
          <w:bCs/>
          <w:sz w:val="28"/>
          <w:szCs w:val="28"/>
        </w:rPr>
        <w:t>ят</w:t>
      </w:r>
      <w:r w:rsidR="005221A8" w:rsidRPr="00DD5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DD5D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3279F" w:rsidRPr="00DD5D3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31EAD" w:rsidRPr="00DD5D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279F" w:rsidRPr="00DD5D36">
        <w:rPr>
          <w:rFonts w:ascii="Times New Roman" w:hAnsi="Times New Roman" w:cs="Times New Roman"/>
          <w:b/>
          <w:bCs/>
          <w:sz w:val="28"/>
          <w:szCs w:val="28"/>
        </w:rPr>
        <w:t>66,9</w:t>
      </w:r>
      <w:r w:rsidR="00FD2031" w:rsidRPr="00DD5D36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A43C7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69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B41EE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31EAD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</w:t>
      </w:r>
      <w:r w:rsidR="0099423D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496761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016A4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E16A9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2 640,7</w:t>
      </w:r>
      <w:r w:rsidR="00496761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40527F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E16A9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48,5</w:t>
      </w:r>
      <w:r w:rsidR="0040527F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2E16A9"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8 088,3</w:t>
      </w:r>
      <w:r w:rsidR="0099423D" w:rsidRPr="009E6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A43C74" w:rsidRDefault="009E6699" w:rsidP="00A43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699"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за счет средств районного</w:t>
      </w:r>
      <w:r w:rsidR="00A43C7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E6699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140,0 тыс. рублей, за счет субсидии из краевого бюджета на  расч</w:t>
      </w:r>
      <w:r w:rsidRPr="009E6699">
        <w:rPr>
          <w:rFonts w:ascii="Times New Roman" w:hAnsi="Times New Roman" w:cs="Times New Roman"/>
          <w:sz w:val="28"/>
          <w:szCs w:val="28"/>
        </w:rPr>
        <w:t>е</w:t>
      </w:r>
      <w:r w:rsidRPr="009E6699">
        <w:rPr>
          <w:rFonts w:ascii="Times New Roman" w:hAnsi="Times New Roman" w:cs="Times New Roman"/>
          <w:sz w:val="28"/>
          <w:szCs w:val="28"/>
        </w:rPr>
        <w:t>ты за уголь (отопление) 532,7 тыс. рублей,</w:t>
      </w:r>
    </w:p>
    <w:p w:rsidR="009E6699" w:rsidRPr="009E6699" w:rsidRDefault="009E6699" w:rsidP="00A43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699">
        <w:rPr>
          <w:rFonts w:ascii="Times New Roman" w:hAnsi="Times New Roman" w:cs="Times New Roman"/>
          <w:sz w:val="28"/>
          <w:szCs w:val="28"/>
        </w:rPr>
        <w:lastRenderedPageBreak/>
        <w:t>- межбюджетные трансферты, передаваемые бюджетам сельских посел</w:t>
      </w:r>
      <w:r w:rsidRPr="009E6699">
        <w:rPr>
          <w:rFonts w:ascii="Times New Roman" w:hAnsi="Times New Roman" w:cs="Times New Roman"/>
          <w:sz w:val="28"/>
          <w:szCs w:val="28"/>
        </w:rPr>
        <w:t>е</w:t>
      </w:r>
      <w:r w:rsidRPr="009E6699">
        <w:rPr>
          <w:rFonts w:ascii="Times New Roman" w:hAnsi="Times New Roman" w:cs="Times New Roman"/>
          <w:sz w:val="28"/>
          <w:szCs w:val="28"/>
        </w:rPr>
        <w:t>ний из бюджетов муниципальных районов на осуществление части полномочий по решению вопросов местного значения в соответствии с заключенными с</w:t>
      </w:r>
      <w:r w:rsidRPr="009E6699">
        <w:rPr>
          <w:rFonts w:ascii="Times New Roman" w:hAnsi="Times New Roman" w:cs="Times New Roman"/>
          <w:sz w:val="28"/>
          <w:szCs w:val="28"/>
        </w:rPr>
        <w:t>о</w:t>
      </w:r>
      <w:r w:rsidRPr="009E6699">
        <w:rPr>
          <w:rFonts w:ascii="Times New Roman" w:hAnsi="Times New Roman" w:cs="Times New Roman"/>
          <w:sz w:val="28"/>
          <w:szCs w:val="28"/>
        </w:rPr>
        <w:t>глашениями (содержание дорог, кладбищ, мероприятия в сфере землепользов</w:t>
      </w:r>
      <w:r w:rsidRPr="009E6699">
        <w:rPr>
          <w:rFonts w:ascii="Times New Roman" w:hAnsi="Times New Roman" w:cs="Times New Roman"/>
          <w:sz w:val="28"/>
          <w:szCs w:val="28"/>
        </w:rPr>
        <w:t>а</w:t>
      </w:r>
      <w:r w:rsidRPr="009E6699">
        <w:rPr>
          <w:rFonts w:ascii="Times New Roman" w:hAnsi="Times New Roman" w:cs="Times New Roman"/>
          <w:sz w:val="28"/>
          <w:szCs w:val="28"/>
        </w:rPr>
        <w:t>ния) 1968,0 тыс. рублей.</w:t>
      </w:r>
    </w:p>
    <w:p w:rsidR="009E6699" w:rsidRPr="009E6699" w:rsidRDefault="009E669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0E637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2 640,7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районного бюджета</w:t>
      </w:r>
      <w:r w:rsidR="00CE10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)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0E63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12 709,2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27155B" w:rsidRDefault="0027155B" w:rsidP="002715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CE10C4" w:rsidRPr="00CE10C4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сумме </w:t>
      </w:r>
      <w:r w:rsidR="000E6372">
        <w:rPr>
          <w:rFonts w:ascii="Times New Roman" w:eastAsia="Arial Unicode MS" w:hAnsi="Times New Roman" w:cs="Times New Roman"/>
          <w:sz w:val="28"/>
          <w:szCs w:val="28"/>
          <w:lang w:eastAsia="ru-RU"/>
        </w:rPr>
        <w:t>8,1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0E6372">
        <w:rPr>
          <w:rFonts w:ascii="Times New Roman" w:eastAsia="Arial Unicode MS" w:hAnsi="Times New Roman" w:cs="Times New Roman"/>
          <w:sz w:val="28"/>
          <w:szCs w:val="28"/>
          <w:lang w:eastAsia="ru-RU"/>
        </w:rPr>
        <w:t>0,4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CE10C4" w:rsidRP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0E63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 225,7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E10C4" w:rsidRDefault="0027155B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</w:t>
      </w:r>
      <w:r w:rsid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0839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</w:t>
      </w:r>
      <w:r w:rsid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CE10C4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администраций»</w:t>
      </w:r>
      <w:r w:rsid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0C4" w:rsidRPr="00F84C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E63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63,1</w:t>
      </w:r>
      <w:r w:rsid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уплату налогов, сборов и иных платежей</w:t>
      </w:r>
      <w:r w:rsidR="008842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0E6372" w:rsidRDefault="000E6372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11</w:t>
      </w:r>
      <w:r w:rsid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10C4"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резервные фонды</w:t>
      </w:r>
      <w:r w:rsidR="00CE10C4"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E10C4"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CE10C4"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CE10C4" w:rsidRDefault="00CE10C4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- 01 13 </w:t>
      </w:r>
      <w:r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3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- 5</w:t>
      </w: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выплаты по обязательствам государства, исполнение судебных актов.</w:t>
      </w:r>
    </w:p>
    <w:p w:rsidR="000E6372" w:rsidRDefault="000E6372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E637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- по разделу 04 «Национальная экономика»,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добавлены бюджетные ассигнования в сумме 1 918,0 тыс. руб. (260,5%) и составят </w:t>
      </w:r>
      <w:r w:rsidRPr="000E63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2 654,5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0E6372" w:rsidRDefault="000E6372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C4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- 04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«Дорожное хозяйство (дорожные фонды)</w:t>
      </w:r>
      <w:r w:rsidR="002C4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7C18F8" w:rsidRPr="007C18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C4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9CD" w:rsidRPr="002C4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1 198,0</w:t>
      </w:r>
      <w:r w:rsidR="002C49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C49CD" w:rsidRPr="00CE10C4" w:rsidRDefault="002C49CD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C4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- 04 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Другие вопросы в области национальной экономике»</w:t>
      </w:r>
      <w:r w:rsidR="007C18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8F8" w:rsidRPr="007C18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9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720,0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мероприятия по землеустройству и землепользованию.</w:t>
      </w:r>
    </w:p>
    <w:p w:rsidR="00A35339" w:rsidRDefault="00034661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D1E07" w:rsidRP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C18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694,6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C18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C18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2 522,2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E2E9D" w:rsidRDefault="001E2E9D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2E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- 05 02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«Коммунальное хозяйство» </w:t>
      </w:r>
      <w:r w:rsidRPr="001E2E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2E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532,7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расчеты за уголь (отопление), потребляемый учреждениями бюджетной сферы (за счет средств районного бюджета). </w:t>
      </w:r>
    </w:p>
    <w:p w:rsidR="00BD48D5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E2E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1E2E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1E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1E2E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161,9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+ 50,0 тыс. руб. организация и содержание мест захоронения,   + 111,9 тыс. руб. прочие 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благоустройству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34661" w:rsidRP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95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2,9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034661" w:rsidRP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3016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205,2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31689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2118EC" w:rsidRPr="002118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16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135</w:t>
      </w:r>
      <w:r w:rsidR="00ED1E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165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тыс. руб. за счет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собственных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СДК, на мероприятия в области культуры;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00,0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3016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отопление дома культуры.</w:t>
      </w:r>
      <w:proofErr w:type="gramEnd"/>
    </w:p>
    <w:p w:rsidR="00301696" w:rsidRDefault="00301696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016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- 08 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Другие вопросы в области культуры, кинематографии»</w:t>
      </w:r>
      <w:r w:rsidR="00115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F32" w:rsidRPr="00115F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+40,0</w:t>
      </w:r>
      <w:r w:rsidR="00115F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Муниципальной программы «развитие культуры Смоленского района»</w:t>
      </w:r>
    </w:p>
    <w:p w:rsidR="00120BFA" w:rsidRDefault="00120BFA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120BF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- по разделу 10 «Социальная политика»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добавлены бюджетные ассигнования в сумме 5,0 тыс. руб. (100% к плану) и составят  5,0 тыс. руб.:</w:t>
      </w:r>
    </w:p>
    <w:p w:rsidR="00120BFA" w:rsidRDefault="00120BFA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43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+ 5,0 тыс. руб</w:t>
      </w:r>
      <w:r w:rsidRPr="00C038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материальная помощь</w:t>
      </w:r>
      <w:r w:rsidR="00C038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7DD8" w:rsidRDefault="00B77DD8" w:rsidP="00FE724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="002118EC" w:rsidRP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32A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110,0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32A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7,3</w:t>
      </w:r>
      <w:r w:rsidR="003131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43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1 622,5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="0021670E" w:rsidRPr="00216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3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110,0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A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1A3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432A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10,0 тыс. руб. </w:t>
      </w:r>
      <w:r w:rsidR="00064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мероприятия</w:t>
      </w:r>
      <w:r w:rsidR="00216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области спорта и физической культуры</w:t>
      </w:r>
      <w:r w:rsidR="00432A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432A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100,0 тыс. руб. </w:t>
      </w:r>
      <w:r w:rsidR="001A3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2A42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1A3C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униципальной программы «Развитие физической культуры и спорта в Смоленском районе»</w:t>
      </w:r>
      <w:proofErr w:type="gramEnd"/>
    </w:p>
    <w:p w:rsidR="001D5DCC" w:rsidRDefault="00636C9E" w:rsidP="00636C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proofErr w:type="gramStart"/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Верх-Обский</w:t>
      </w:r>
      <w:proofErr w:type="spellEnd"/>
      <w:proofErr w:type="gramEnd"/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06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216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C038E0" w:rsidRDefault="00C038E0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1670E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1670E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670E" w:rsidRPr="00C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proofErr w:type="gramStart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</w:t>
      </w:r>
      <w:proofErr w:type="spellEnd"/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B4F" w:rsidRDefault="004C7B4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2A42E6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Инспектор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F087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96" w:rsidRDefault="00301696" w:rsidP="006E3D13">
      <w:pPr>
        <w:spacing w:after="0" w:line="240" w:lineRule="auto"/>
      </w:pPr>
      <w:r>
        <w:separator/>
      </w:r>
    </w:p>
  </w:endnote>
  <w:endnote w:type="continuationSeparator" w:id="1">
    <w:p w:rsidR="00301696" w:rsidRDefault="00301696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5235"/>
      <w:docPartObj>
        <w:docPartGallery w:val="Page Numbers (Bottom of Page)"/>
        <w:docPartUnique/>
      </w:docPartObj>
    </w:sdtPr>
    <w:sdtContent>
      <w:p w:rsidR="00301696" w:rsidRDefault="00301696">
        <w:pPr>
          <w:pStyle w:val="ac"/>
          <w:jc w:val="right"/>
        </w:pPr>
        <w:fldSimple w:instr=" PAGE   \* MERGEFORMAT ">
          <w:r w:rsidR="00C038E0">
            <w:rPr>
              <w:noProof/>
            </w:rPr>
            <w:t>4</w:t>
          </w:r>
        </w:fldSimple>
      </w:p>
    </w:sdtContent>
  </w:sdt>
  <w:p w:rsidR="00301696" w:rsidRDefault="003016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96" w:rsidRDefault="00301696" w:rsidP="006E3D13">
      <w:pPr>
        <w:spacing w:after="0" w:line="240" w:lineRule="auto"/>
      </w:pPr>
      <w:r>
        <w:separator/>
      </w:r>
    </w:p>
  </w:footnote>
  <w:footnote w:type="continuationSeparator" w:id="1">
    <w:p w:rsidR="00301696" w:rsidRDefault="00301696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48E"/>
    <w:rsid w:val="00007B03"/>
    <w:rsid w:val="0001214A"/>
    <w:rsid w:val="00015360"/>
    <w:rsid w:val="000212EA"/>
    <w:rsid w:val="0002152F"/>
    <w:rsid w:val="000230E7"/>
    <w:rsid w:val="0002383E"/>
    <w:rsid w:val="00030159"/>
    <w:rsid w:val="00034661"/>
    <w:rsid w:val="00036E47"/>
    <w:rsid w:val="00040E4A"/>
    <w:rsid w:val="000444B3"/>
    <w:rsid w:val="00046161"/>
    <w:rsid w:val="00050795"/>
    <w:rsid w:val="00056052"/>
    <w:rsid w:val="00056ED2"/>
    <w:rsid w:val="00057527"/>
    <w:rsid w:val="00064992"/>
    <w:rsid w:val="00070B45"/>
    <w:rsid w:val="00072E2F"/>
    <w:rsid w:val="00074543"/>
    <w:rsid w:val="00077A0C"/>
    <w:rsid w:val="00080AA6"/>
    <w:rsid w:val="00080B84"/>
    <w:rsid w:val="00081F95"/>
    <w:rsid w:val="00082BD6"/>
    <w:rsid w:val="00083952"/>
    <w:rsid w:val="000916B5"/>
    <w:rsid w:val="00094B6E"/>
    <w:rsid w:val="0009653F"/>
    <w:rsid w:val="00097B2E"/>
    <w:rsid w:val="000A14C8"/>
    <w:rsid w:val="000A3215"/>
    <w:rsid w:val="000A63FD"/>
    <w:rsid w:val="000B0502"/>
    <w:rsid w:val="000B10CE"/>
    <w:rsid w:val="000B163D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372"/>
    <w:rsid w:val="000E65DD"/>
    <w:rsid w:val="000E6BB1"/>
    <w:rsid w:val="000F6862"/>
    <w:rsid w:val="00101552"/>
    <w:rsid w:val="001038D7"/>
    <w:rsid w:val="00107378"/>
    <w:rsid w:val="00111EE5"/>
    <w:rsid w:val="0011476E"/>
    <w:rsid w:val="001159B1"/>
    <w:rsid w:val="00115F32"/>
    <w:rsid w:val="00116823"/>
    <w:rsid w:val="0011716C"/>
    <w:rsid w:val="00117185"/>
    <w:rsid w:val="00120BFA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3C6C"/>
    <w:rsid w:val="001A5A10"/>
    <w:rsid w:val="001B0F8F"/>
    <w:rsid w:val="001B2873"/>
    <w:rsid w:val="001B2B99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2E9D"/>
    <w:rsid w:val="001E7193"/>
    <w:rsid w:val="001F2761"/>
    <w:rsid w:val="001F290B"/>
    <w:rsid w:val="001F5643"/>
    <w:rsid w:val="00211446"/>
    <w:rsid w:val="002118EC"/>
    <w:rsid w:val="00212F5D"/>
    <w:rsid w:val="0021494E"/>
    <w:rsid w:val="002155C6"/>
    <w:rsid w:val="0021670E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155B"/>
    <w:rsid w:val="00272200"/>
    <w:rsid w:val="0027235D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42E6"/>
    <w:rsid w:val="002A6EA3"/>
    <w:rsid w:val="002B0C3A"/>
    <w:rsid w:val="002B1247"/>
    <w:rsid w:val="002B5EB5"/>
    <w:rsid w:val="002C1688"/>
    <w:rsid w:val="002C1F95"/>
    <w:rsid w:val="002C2A8A"/>
    <w:rsid w:val="002C2F99"/>
    <w:rsid w:val="002C49CD"/>
    <w:rsid w:val="002C654E"/>
    <w:rsid w:val="002C79C4"/>
    <w:rsid w:val="002C7F05"/>
    <w:rsid w:val="002D0D2A"/>
    <w:rsid w:val="002E0084"/>
    <w:rsid w:val="002E07D4"/>
    <w:rsid w:val="002E16A9"/>
    <w:rsid w:val="002F0879"/>
    <w:rsid w:val="002F16A0"/>
    <w:rsid w:val="002F7111"/>
    <w:rsid w:val="002F7BA7"/>
    <w:rsid w:val="00301696"/>
    <w:rsid w:val="0030223B"/>
    <w:rsid w:val="0030259D"/>
    <w:rsid w:val="003040A7"/>
    <w:rsid w:val="003070B4"/>
    <w:rsid w:val="003103A3"/>
    <w:rsid w:val="003122CC"/>
    <w:rsid w:val="00313144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061E6"/>
    <w:rsid w:val="00412D15"/>
    <w:rsid w:val="00417E40"/>
    <w:rsid w:val="00420CA1"/>
    <w:rsid w:val="004236B6"/>
    <w:rsid w:val="00427DCA"/>
    <w:rsid w:val="00427FF3"/>
    <w:rsid w:val="004302E3"/>
    <w:rsid w:val="00430628"/>
    <w:rsid w:val="0043279F"/>
    <w:rsid w:val="00432AEF"/>
    <w:rsid w:val="0043461E"/>
    <w:rsid w:val="00434D4D"/>
    <w:rsid w:val="00440312"/>
    <w:rsid w:val="0044217F"/>
    <w:rsid w:val="004463CB"/>
    <w:rsid w:val="00454379"/>
    <w:rsid w:val="00460B1F"/>
    <w:rsid w:val="004610DC"/>
    <w:rsid w:val="004742BE"/>
    <w:rsid w:val="00480C08"/>
    <w:rsid w:val="00482286"/>
    <w:rsid w:val="00483F64"/>
    <w:rsid w:val="00496761"/>
    <w:rsid w:val="004A04E9"/>
    <w:rsid w:val="004A0AF5"/>
    <w:rsid w:val="004A3262"/>
    <w:rsid w:val="004A3587"/>
    <w:rsid w:val="004A39D8"/>
    <w:rsid w:val="004B179D"/>
    <w:rsid w:val="004B59C6"/>
    <w:rsid w:val="004B6958"/>
    <w:rsid w:val="004C2007"/>
    <w:rsid w:val="004C327B"/>
    <w:rsid w:val="004C36B0"/>
    <w:rsid w:val="004C4E29"/>
    <w:rsid w:val="004C7B4F"/>
    <w:rsid w:val="004F06F7"/>
    <w:rsid w:val="004F33A5"/>
    <w:rsid w:val="004F3EDC"/>
    <w:rsid w:val="00502314"/>
    <w:rsid w:val="005042FC"/>
    <w:rsid w:val="00511A8C"/>
    <w:rsid w:val="00514070"/>
    <w:rsid w:val="005173A5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1689"/>
    <w:rsid w:val="00632085"/>
    <w:rsid w:val="00636C9E"/>
    <w:rsid w:val="006412F8"/>
    <w:rsid w:val="00643E1B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762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35BA"/>
    <w:rsid w:val="00784FA2"/>
    <w:rsid w:val="00792DBB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18F8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21A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998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32C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5D20"/>
    <w:rsid w:val="009D6CC1"/>
    <w:rsid w:val="009D6D19"/>
    <w:rsid w:val="009E0425"/>
    <w:rsid w:val="009E17C2"/>
    <w:rsid w:val="009E184B"/>
    <w:rsid w:val="009E27B8"/>
    <w:rsid w:val="009E3DDC"/>
    <w:rsid w:val="009E46F8"/>
    <w:rsid w:val="009E52E4"/>
    <w:rsid w:val="009E6699"/>
    <w:rsid w:val="009F57FC"/>
    <w:rsid w:val="009F7F61"/>
    <w:rsid w:val="00A006FB"/>
    <w:rsid w:val="00A0457F"/>
    <w:rsid w:val="00A06025"/>
    <w:rsid w:val="00A11A02"/>
    <w:rsid w:val="00A13D90"/>
    <w:rsid w:val="00A15F1D"/>
    <w:rsid w:val="00A211C9"/>
    <w:rsid w:val="00A26343"/>
    <w:rsid w:val="00A27B28"/>
    <w:rsid w:val="00A35339"/>
    <w:rsid w:val="00A36FBE"/>
    <w:rsid w:val="00A371E2"/>
    <w:rsid w:val="00A43C74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3B3B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1E8F"/>
    <w:rsid w:val="00AE3C02"/>
    <w:rsid w:val="00AE56D8"/>
    <w:rsid w:val="00AF2672"/>
    <w:rsid w:val="00AF72D0"/>
    <w:rsid w:val="00B06B3C"/>
    <w:rsid w:val="00B13B51"/>
    <w:rsid w:val="00B14406"/>
    <w:rsid w:val="00B14D3C"/>
    <w:rsid w:val="00B206E9"/>
    <w:rsid w:val="00B21EBF"/>
    <w:rsid w:val="00B22C2A"/>
    <w:rsid w:val="00B37677"/>
    <w:rsid w:val="00B40B69"/>
    <w:rsid w:val="00B43CD5"/>
    <w:rsid w:val="00B44CC4"/>
    <w:rsid w:val="00B461AC"/>
    <w:rsid w:val="00B500E1"/>
    <w:rsid w:val="00B504F5"/>
    <w:rsid w:val="00B56CFE"/>
    <w:rsid w:val="00B659CA"/>
    <w:rsid w:val="00B65B03"/>
    <w:rsid w:val="00B7390E"/>
    <w:rsid w:val="00B77DD8"/>
    <w:rsid w:val="00B84674"/>
    <w:rsid w:val="00B849CF"/>
    <w:rsid w:val="00B905CB"/>
    <w:rsid w:val="00B94D51"/>
    <w:rsid w:val="00B9500F"/>
    <w:rsid w:val="00BA0C27"/>
    <w:rsid w:val="00BA4496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1AF1"/>
    <w:rsid w:val="00BF2101"/>
    <w:rsid w:val="00BF30E4"/>
    <w:rsid w:val="00BF36E4"/>
    <w:rsid w:val="00C003AC"/>
    <w:rsid w:val="00C038E0"/>
    <w:rsid w:val="00C0451D"/>
    <w:rsid w:val="00C04C78"/>
    <w:rsid w:val="00C07E3F"/>
    <w:rsid w:val="00C1068B"/>
    <w:rsid w:val="00C12155"/>
    <w:rsid w:val="00C129FE"/>
    <w:rsid w:val="00C12A82"/>
    <w:rsid w:val="00C12FEC"/>
    <w:rsid w:val="00C134D6"/>
    <w:rsid w:val="00C145F6"/>
    <w:rsid w:val="00C15D48"/>
    <w:rsid w:val="00C16607"/>
    <w:rsid w:val="00C211AD"/>
    <w:rsid w:val="00C21848"/>
    <w:rsid w:val="00C21B8E"/>
    <w:rsid w:val="00C224F2"/>
    <w:rsid w:val="00C227EE"/>
    <w:rsid w:val="00C22EEF"/>
    <w:rsid w:val="00C27FCD"/>
    <w:rsid w:val="00C31EA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789"/>
    <w:rsid w:val="00C819E4"/>
    <w:rsid w:val="00C81E8E"/>
    <w:rsid w:val="00C85DA1"/>
    <w:rsid w:val="00C93ECA"/>
    <w:rsid w:val="00C97AE5"/>
    <w:rsid w:val="00CA1942"/>
    <w:rsid w:val="00CA44D8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10C4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55326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2C16"/>
    <w:rsid w:val="00DC38DD"/>
    <w:rsid w:val="00DC628B"/>
    <w:rsid w:val="00DC6F61"/>
    <w:rsid w:val="00DD50E5"/>
    <w:rsid w:val="00DD510C"/>
    <w:rsid w:val="00DD5D36"/>
    <w:rsid w:val="00DE2FC3"/>
    <w:rsid w:val="00DE59A9"/>
    <w:rsid w:val="00DE69FC"/>
    <w:rsid w:val="00DE7969"/>
    <w:rsid w:val="00DE7FCB"/>
    <w:rsid w:val="00DF05C2"/>
    <w:rsid w:val="00DF1BEB"/>
    <w:rsid w:val="00DF4BDD"/>
    <w:rsid w:val="00DF761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6663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063F"/>
    <w:rsid w:val="00EA0D9B"/>
    <w:rsid w:val="00EA6F5D"/>
    <w:rsid w:val="00EB69EA"/>
    <w:rsid w:val="00EC14C6"/>
    <w:rsid w:val="00EC236B"/>
    <w:rsid w:val="00EC5541"/>
    <w:rsid w:val="00EC69E7"/>
    <w:rsid w:val="00EC79C0"/>
    <w:rsid w:val="00ED1E07"/>
    <w:rsid w:val="00ED1FE7"/>
    <w:rsid w:val="00ED3C6E"/>
    <w:rsid w:val="00EE1CBD"/>
    <w:rsid w:val="00EE45C5"/>
    <w:rsid w:val="00EE5594"/>
    <w:rsid w:val="00EE6B37"/>
    <w:rsid w:val="00EE7935"/>
    <w:rsid w:val="00F01813"/>
    <w:rsid w:val="00F01FC1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41EE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D7F8B"/>
    <w:rsid w:val="00FE0339"/>
    <w:rsid w:val="00FE1D4C"/>
    <w:rsid w:val="00FE4F3F"/>
    <w:rsid w:val="00FE575D"/>
    <w:rsid w:val="00FE7242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F377-7E84-4691-AB0A-DA2ABF1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23</cp:revision>
  <cp:lastPrinted>2024-09-10T07:07:00Z</cp:lastPrinted>
  <dcterms:created xsi:type="dcterms:W3CDTF">2024-05-31T04:06:00Z</dcterms:created>
  <dcterms:modified xsi:type="dcterms:W3CDTF">2024-09-10T07:25:00Z</dcterms:modified>
</cp:coreProperties>
</file>