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EE" w:rsidRPr="009273EE" w:rsidRDefault="009273EE" w:rsidP="009273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АДМИНИСТРАЦИЯ СМОЛЕНСКОГО РАЙОНА АЛТАЙСКОГО КРАЯ</w:t>
      </w:r>
    </w:p>
    <w:p w:rsidR="009273EE" w:rsidRPr="009273EE" w:rsidRDefault="009273EE" w:rsidP="009273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1D4A78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28.02.2023 </w:t>
      </w:r>
      <w:r w:rsidR="009273EE" w:rsidRPr="009273E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153                              </w:t>
      </w:r>
      <w:r w:rsidR="009273EE" w:rsidRPr="009273E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="00277B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77B58">
        <w:rPr>
          <w:rFonts w:ascii="Times New Roman" w:hAnsi="Times New Roman" w:cs="Times New Roman"/>
          <w:sz w:val="28"/>
          <w:szCs w:val="28"/>
        </w:rPr>
        <w:t>. Смолен</w:t>
      </w:r>
      <w:r w:rsidR="009273EE" w:rsidRPr="009273EE">
        <w:rPr>
          <w:rFonts w:ascii="Times New Roman" w:hAnsi="Times New Roman" w:cs="Times New Roman"/>
          <w:sz w:val="28"/>
          <w:szCs w:val="28"/>
        </w:rPr>
        <w:t>ское</w:t>
      </w:r>
    </w:p>
    <w:p w:rsid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201"/>
      </w:tblGrid>
      <w:tr w:rsidR="009273EE" w:rsidTr="003633F5">
        <w:tc>
          <w:tcPr>
            <w:tcW w:w="3652" w:type="dxa"/>
          </w:tcPr>
          <w:p w:rsidR="009273EE" w:rsidRPr="009273EE" w:rsidRDefault="009273EE" w:rsidP="003633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чета о ходе реализац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муниципальной программы «</w:t>
            </w:r>
            <w:r w:rsidR="00984E2B" w:rsidRPr="009726BD">
              <w:rPr>
                <w:rFonts w:ascii="Times New Roman" w:hAnsi="Times New Roman" w:cs="Times New Roman"/>
                <w:sz w:val="28"/>
                <w:szCs w:val="28"/>
              </w:rPr>
              <w:t>Обеспечение жильем   молодых семей в Смоленском районе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»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273EE" w:rsidRDefault="009273EE" w:rsidP="009273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9273EE" w:rsidRDefault="009273EE" w:rsidP="009273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3633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Смоленского района от </w:t>
      </w:r>
      <w:r>
        <w:rPr>
          <w:rFonts w:ascii="Times New Roman" w:hAnsi="Times New Roman" w:cs="Times New Roman"/>
          <w:sz w:val="28"/>
          <w:szCs w:val="28"/>
        </w:rPr>
        <w:t>16.12.2022</w:t>
      </w:r>
      <w:r w:rsidRPr="009273E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1119</w:t>
      </w:r>
      <w:r w:rsidRPr="009273E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края», Администрация Смоленского района Алтайского края ПОСТАНОВЛЯЕТ:</w:t>
      </w:r>
    </w:p>
    <w:p w:rsidR="009273EE" w:rsidRPr="009273EE" w:rsidRDefault="009273EE" w:rsidP="009273E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1.</w:t>
      </w:r>
      <w:r w:rsidRPr="009273EE">
        <w:rPr>
          <w:rFonts w:ascii="Times New Roman" w:hAnsi="Times New Roman" w:cs="Times New Roman"/>
          <w:sz w:val="28"/>
          <w:szCs w:val="28"/>
        </w:rPr>
        <w:tab/>
        <w:t xml:space="preserve">Утвердить годовой отчет </w:t>
      </w:r>
      <w:r w:rsidRPr="005A7B9A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муниципальной программы </w:t>
      </w:r>
      <w:r w:rsidRPr="002605D3">
        <w:rPr>
          <w:rFonts w:ascii="Times New Roman" w:hAnsi="Times New Roman"/>
          <w:sz w:val="28"/>
          <w:szCs w:val="28"/>
        </w:rPr>
        <w:t>«</w:t>
      </w:r>
      <w:r w:rsidR="00984E2B" w:rsidRPr="009726BD">
        <w:rPr>
          <w:rFonts w:ascii="Times New Roman" w:hAnsi="Times New Roman" w:cs="Times New Roman"/>
          <w:sz w:val="28"/>
          <w:szCs w:val="28"/>
        </w:rPr>
        <w:t>Обеспечение жильем   молодых семей в Смоленском районе</w:t>
      </w:r>
      <w:r w:rsidR="00984E2B">
        <w:rPr>
          <w:rFonts w:ascii="Times New Roman" w:hAnsi="Times New Roman" w:cs="Times New Roman"/>
          <w:sz w:val="28"/>
          <w:szCs w:val="28"/>
        </w:rPr>
        <w:t>»</w:t>
      </w:r>
      <w:r w:rsidRPr="002605D3">
        <w:rPr>
          <w:rFonts w:ascii="Times New Roman" w:hAnsi="Times New Roman"/>
          <w:sz w:val="28"/>
          <w:szCs w:val="28"/>
        </w:rPr>
        <w:t xml:space="preserve"> на 20</w:t>
      </w:r>
      <w:r w:rsidR="00984E2B">
        <w:rPr>
          <w:rFonts w:ascii="Times New Roman" w:hAnsi="Times New Roman"/>
          <w:sz w:val="28"/>
          <w:szCs w:val="28"/>
        </w:rPr>
        <w:t>20</w:t>
      </w:r>
      <w:r w:rsidRPr="002605D3">
        <w:rPr>
          <w:rFonts w:ascii="Times New Roman" w:hAnsi="Times New Roman"/>
          <w:sz w:val="28"/>
          <w:szCs w:val="28"/>
        </w:rPr>
        <w:t>-2024 годы»</w:t>
      </w: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5A7B9A">
        <w:rPr>
          <w:rFonts w:ascii="Times New Roman" w:hAnsi="Times New Roman" w:cs="Times New Roman"/>
          <w:sz w:val="28"/>
          <w:szCs w:val="28"/>
        </w:rPr>
        <w:t>год</w:t>
      </w:r>
      <w:r w:rsidRPr="009273E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9273EE" w:rsidRPr="009273EE" w:rsidRDefault="009273EE" w:rsidP="009273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2.</w:t>
      </w:r>
      <w:r w:rsidRPr="009273EE">
        <w:rPr>
          <w:rFonts w:ascii="Times New Roman" w:hAnsi="Times New Roman" w:cs="Times New Roman"/>
          <w:sz w:val="28"/>
          <w:szCs w:val="28"/>
        </w:rPr>
        <w:tab/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Л.В.Моисеева</w:t>
      </w: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633F5" w:rsidRDefault="003633F5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633F5" w:rsidRPr="009273EE" w:rsidRDefault="003633F5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84E2B" w:rsidRDefault="00984E2B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84E2B" w:rsidRDefault="00984E2B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1D4A78">
        <w:rPr>
          <w:rFonts w:ascii="Times New Roman" w:hAnsi="Times New Roman" w:cs="Times New Roman"/>
          <w:sz w:val="28"/>
          <w:szCs w:val="28"/>
        </w:rPr>
        <w:t>28.02.2023</w:t>
      </w:r>
      <w:r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 w:rsidR="001D4A78">
        <w:rPr>
          <w:rFonts w:ascii="Times New Roman" w:hAnsi="Times New Roman" w:cs="Times New Roman"/>
          <w:sz w:val="28"/>
          <w:szCs w:val="28"/>
        </w:rPr>
        <w:t>153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5A7B9A" w:rsidP="00984E2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B6D9B" w:rsidRPr="002605D3">
        <w:rPr>
          <w:rFonts w:ascii="Times New Roman" w:hAnsi="Times New Roman"/>
          <w:sz w:val="28"/>
          <w:szCs w:val="28"/>
        </w:rPr>
        <w:t>«</w:t>
      </w:r>
      <w:r w:rsidR="00984E2B">
        <w:rPr>
          <w:rFonts w:ascii="Times New Roman" w:hAnsi="Times New Roman" w:cs="Times New Roman"/>
          <w:sz w:val="28"/>
          <w:szCs w:val="28"/>
        </w:rPr>
        <w:t xml:space="preserve">Обеспечение жильем </w:t>
      </w:r>
      <w:r w:rsidR="00984E2B" w:rsidRPr="009726BD">
        <w:rPr>
          <w:rFonts w:ascii="Times New Roman" w:hAnsi="Times New Roman" w:cs="Times New Roman"/>
          <w:sz w:val="28"/>
          <w:szCs w:val="28"/>
        </w:rPr>
        <w:t xml:space="preserve">молодых </w:t>
      </w:r>
      <w:r w:rsidR="00984E2B">
        <w:rPr>
          <w:rFonts w:ascii="Times New Roman" w:hAnsi="Times New Roman" w:cs="Times New Roman"/>
          <w:sz w:val="28"/>
          <w:szCs w:val="28"/>
        </w:rPr>
        <w:t xml:space="preserve">семей в Смоленском </w:t>
      </w:r>
      <w:r w:rsidR="00984E2B" w:rsidRPr="009726BD">
        <w:rPr>
          <w:rFonts w:ascii="Times New Roman" w:hAnsi="Times New Roman" w:cs="Times New Roman"/>
          <w:sz w:val="28"/>
          <w:szCs w:val="28"/>
        </w:rPr>
        <w:t>районе</w:t>
      </w:r>
      <w:r w:rsidR="009B6D9B" w:rsidRPr="002605D3">
        <w:rPr>
          <w:rFonts w:ascii="Times New Roman" w:hAnsi="Times New Roman"/>
          <w:sz w:val="28"/>
          <w:szCs w:val="28"/>
        </w:rPr>
        <w:t>»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 w:rsidR="009B6D9B">
        <w:rPr>
          <w:rFonts w:ascii="Times New Roman" w:hAnsi="Times New Roman" w:cs="Times New Roman"/>
          <w:sz w:val="28"/>
          <w:szCs w:val="28"/>
        </w:rPr>
        <w:t xml:space="preserve">22 </w:t>
      </w:r>
      <w:r w:rsidRPr="005A7B9A">
        <w:rPr>
          <w:rFonts w:ascii="Times New Roman" w:hAnsi="Times New Roman" w:cs="Times New Roman"/>
          <w:sz w:val="28"/>
          <w:szCs w:val="28"/>
        </w:rPr>
        <w:t>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9B6D9B" w:rsidRPr="002605D3">
        <w:rPr>
          <w:rFonts w:ascii="Times New Roman" w:hAnsi="Times New Roman"/>
          <w:sz w:val="28"/>
          <w:szCs w:val="28"/>
        </w:rPr>
        <w:t>«</w:t>
      </w:r>
      <w:r w:rsidR="00984E2B">
        <w:rPr>
          <w:rFonts w:ascii="Times New Roman" w:hAnsi="Times New Roman" w:cs="Times New Roman"/>
          <w:sz w:val="28"/>
          <w:szCs w:val="28"/>
        </w:rPr>
        <w:t xml:space="preserve">Обеспечение жильем </w:t>
      </w:r>
      <w:r w:rsidR="00984E2B" w:rsidRPr="009726BD">
        <w:rPr>
          <w:rFonts w:ascii="Times New Roman" w:hAnsi="Times New Roman" w:cs="Times New Roman"/>
          <w:sz w:val="28"/>
          <w:szCs w:val="28"/>
        </w:rPr>
        <w:t xml:space="preserve">молодых </w:t>
      </w:r>
      <w:r w:rsidR="00984E2B">
        <w:rPr>
          <w:rFonts w:ascii="Times New Roman" w:hAnsi="Times New Roman" w:cs="Times New Roman"/>
          <w:sz w:val="28"/>
          <w:szCs w:val="28"/>
        </w:rPr>
        <w:t xml:space="preserve">семей в Смоленском </w:t>
      </w:r>
      <w:r w:rsidR="00984E2B" w:rsidRPr="009726BD">
        <w:rPr>
          <w:rFonts w:ascii="Times New Roman" w:hAnsi="Times New Roman" w:cs="Times New Roman"/>
          <w:sz w:val="28"/>
          <w:szCs w:val="28"/>
        </w:rPr>
        <w:t>районе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Администрации района от </w:t>
      </w:r>
      <w:r w:rsidR="00984E2B" w:rsidRPr="009726BD">
        <w:rPr>
          <w:rFonts w:ascii="Times New Roman" w:hAnsi="Times New Roman" w:cs="Times New Roman"/>
          <w:sz w:val="28"/>
          <w:szCs w:val="28"/>
        </w:rPr>
        <w:t>25.12.2019 № 1425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5A7B9A" w:rsidRPr="00B14083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14083">
        <w:rPr>
          <w:sz w:val="28"/>
          <w:szCs w:val="28"/>
        </w:rPr>
        <w:t xml:space="preserve">Ответственный исполнитель программы: </w:t>
      </w:r>
      <w:r w:rsidR="00B14083" w:rsidRPr="00B14083">
        <w:rPr>
          <w:spacing w:val="2"/>
          <w:sz w:val="28"/>
          <w:szCs w:val="28"/>
        </w:rPr>
        <w:t>Управление по культуре, спорту и молодежной политике Администрации Смоленского района</w:t>
      </w:r>
    </w:p>
    <w:p w:rsidR="005A7B9A" w:rsidRPr="00B14083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14083">
        <w:rPr>
          <w:sz w:val="28"/>
          <w:szCs w:val="28"/>
        </w:rPr>
        <w:t>Цель программы:</w:t>
      </w:r>
      <w:r w:rsidR="00984E2B">
        <w:rPr>
          <w:sz w:val="28"/>
          <w:szCs w:val="28"/>
        </w:rPr>
        <w:t>г</w:t>
      </w:r>
      <w:r w:rsidR="00984E2B" w:rsidRPr="00C2420B">
        <w:rPr>
          <w:sz w:val="28"/>
          <w:szCs w:val="28"/>
        </w:rPr>
        <w:t>осударственная поддержка в решении жилищной проблемы молодых семей, признанных в установленном порядке, нуждающимися в улучшении жилищных условий</w:t>
      </w:r>
      <w:r w:rsidR="00B14083" w:rsidRPr="00B14083">
        <w:rPr>
          <w:sz w:val="28"/>
          <w:szCs w:val="28"/>
        </w:rPr>
        <w:t>.</w:t>
      </w:r>
    </w:p>
    <w:p w:rsidR="00984E2B" w:rsidRDefault="005A7B9A" w:rsidP="00984E2B">
      <w:pPr>
        <w:spacing w:after="0" w:line="240" w:lineRule="auto"/>
        <w:ind w:firstLine="567"/>
        <w:jc w:val="both"/>
        <w:rPr>
          <w:sz w:val="28"/>
          <w:szCs w:val="28"/>
        </w:rPr>
      </w:pPr>
      <w:r w:rsidRPr="00B14083">
        <w:rPr>
          <w:rFonts w:ascii="Times New Roman" w:hAnsi="Times New Roman" w:cs="Times New Roman"/>
          <w:sz w:val="28"/>
          <w:szCs w:val="28"/>
        </w:rPr>
        <w:t>Задач</w:t>
      </w:r>
      <w:r w:rsidR="00B14083">
        <w:rPr>
          <w:rFonts w:ascii="Times New Roman" w:hAnsi="Times New Roman" w:cs="Times New Roman"/>
          <w:sz w:val="28"/>
          <w:szCs w:val="28"/>
        </w:rPr>
        <w:t>и</w:t>
      </w:r>
      <w:r w:rsidRPr="00B14083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984E2B" w:rsidRDefault="00984E2B" w:rsidP="00984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420B">
        <w:rPr>
          <w:rFonts w:ascii="Times New Roman" w:hAnsi="Times New Roman" w:cs="Times New Roman"/>
          <w:sz w:val="28"/>
          <w:szCs w:val="28"/>
        </w:rPr>
        <w:t>редоставление молодым семьям – участникам Программы социальных выплат на приобретение или строительство жилья;</w:t>
      </w:r>
    </w:p>
    <w:p w:rsidR="005A7B9A" w:rsidRPr="00984E2B" w:rsidRDefault="00984E2B" w:rsidP="00984E2B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20B">
        <w:rPr>
          <w:rFonts w:ascii="Times New Roman" w:hAnsi="Times New Roman" w:cs="Times New Roman"/>
          <w:sz w:val="28"/>
          <w:szCs w:val="28"/>
        </w:rPr>
        <w:t>создание условий для привлечения молодыми семьями собственных средств, финансовых сре</w:t>
      </w:r>
      <w:proofErr w:type="gramStart"/>
      <w:r w:rsidRPr="00C2420B">
        <w:rPr>
          <w:rFonts w:ascii="Times New Roman" w:hAnsi="Times New Roman" w:cs="Times New Roman"/>
          <w:sz w:val="28"/>
          <w:szCs w:val="28"/>
        </w:rPr>
        <w:t>дств  кр</w:t>
      </w:r>
      <w:proofErr w:type="gramEnd"/>
      <w:r w:rsidRPr="00C2420B">
        <w:rPr>
          <w:rFonts w:ascii="Times New Roman" w:hAnsi="Times New Roman" w:cs="Times New Roman"/>
          <w:sz w:val="28"/>
          <w:szCs w:val="28"/>
        </w:rPr>
        <w:t>едитных организаций и других организаций, предоставляющих кредиты и займы для приобретения жилья или строительство индивидуального жилого дома, в том ч</w:t>
      </w:r>
      <w:r>
        <w:rPr>
          <w:rFonts w:ascii="Times New Roman" w:hAnsi="Times New Roman" w:cs="Times New Roman"/>
          <w:sz w:val="28"/>
          <w:szCs w:val="28"/>
        </w:rPr>
        <w:t>исле ипотечные жилищные кредиты</w:t>
      </w:r>
      <w:r w:rsidR="00B14083" w:rsidRPr="00B14083">
        <w:rPr>
          <w:sz w:val="28"/>
          <w:szCs w:val="28"/>
        </w:rPr>
        <w:t>.</w:t>
      </w:r>
    </w:p>
    <w:p w:rsidR="00A718D7" w:rsidRDefault="005A7B9A" w:rsidP="00A718D7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proofErr w:type="gramStart"/>
      <w:r w:rsidRPr="007A165B">
        <w:rPr>
          <w:sz w:val="28"/>
          <w:szCs w:val="28"/>
        </w:rPr>
        <w:t xml:space="preserve">Характеристика программных мероприятий: </w:t>
      </w:r>
      <w:r w:rsidR="00A718D7">
        <w:rPr>
          <w:sz w:val="28"/>
          <w:szCs w:val="28"/>
        </w:rPr>
        <w:t>м</w:t>
      </w:r>
      <w:r w:rsidR="00A718D7" w:rsidRPr="00A718D7">
        <w:rPr>
          <w:sz w:val="28"/>
          <w:szCs w:val="28"/>
        </w:rPr>
        <w:t>ероприятия муниципальной программы направлены на предоставление молодым семьям – участникам Программы социальных выплат на приобретение или строительство жилья; создание условий для привлечения молодыми семьями собственных средств, финансовых средств кредитных организаций и других организаций, предоставляющих кредиты и займы для приобретения жилья или строительство индивидуального жилого дома, в том числе ипотечные жилищные кредиты.</w:t>
      </w:r>
      <w:proofErr w:type="gramEnd"/>
    </w:p>
    <w:p w:rsidR="00947367" w:rsidRPr="00A718D7" w:rsidRDefault="00947367" w:rsidP="00A718D7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2022 года был составлен и утвержден список </w:t>
      </w:r>
      <w:r w:rsidRPr="00947367">
        <w:rPr>
          <w:sz w:val="28"/>
          <w:szCs w:val="28"/>
        </w:rPr>
        <w:t>молодых семей - участников подпрограммы «Обеспечение жильем молодых семей в Алтайском крае» государственной программы Алтайского края «Обеспечение доступным и комфортным жильем населения Алтайского края», изъявивших желание получить социальную выплату в планируемом году по Смоленскому району</w:t>
      </w:r>
      <w:r>
        <w:rPr>
          <w:sz w:val="28"/>
          <w:szCs w:val="28"/>
        </w:rPr>
        <w:t>. В сводном списке на 2022 год числилось 23 семьи, из них одна многодетная семья.</w:t>
      </w:r>
      <w:bookmarkStart w:id="0" w:name="_GoBack"/>
      <w:bookmarkEnd w:id="0"/>
    </w:p>
    <w:p w:rsidR="00A718D7" w:rsidRDefault="00A718D7" w:rsidP="00A718D7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A718D7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A718D7">
        <w:rPr>
          <w:sz w:val="28"/>
          <w:szCs w:val="28"/>
        </w:rPr>
        <w:t xml:space="preserve"> году количество молодых семей, улучшивших свои жилищные условия – </w:t>
      </w:r>
      <w:r>
        <w:rPr>
          <w:sz w:val="28"/>
          <w:szCs w:val="28"/>
        </w:rPr>
        <w:t>4</w:t>
      </w:r>
      <w:r w:rsidRPr="00A718D7">
        <w:rPr>
          <w:sz w:val="28"/>
          <w:szCs w:val="28"/>
        </w:rPr>
        <w:t xml:space="preserve"> сем</w:t>
      </w:r>
      <w:r>
        <w:rPr>
          <w:sz w:val="28"/>
          <w:szCs w:val="28"/>
        </w:rPr>
        <w:t>ьи</w:t>
      </w:r>
      <w:r w:rsidRPr="00A718D7">
        <w:rPr>
          <w:sz w:val="28"/>
          <w:szCs w:val="28"/>
        </w:rPr>
        <w:t xml:space="preserve">, из них приобрели жилое помещение – </w:t>
      </w:r>
      <w:r>
        <w:rPr>
          <w:sz w:val="28"/>
          <w:szCs w:val="28"/>
        </w:rPr>
        <w:t>4</w:t>
      </w:r>
      <w:r w:rsidRPr="00A718D7">
        <w:rPr>
          <w:sz w:val="28"/>
          <w:szCs w:val="28"/>
        </w:rPr>
        <w:t xml:space="preserve"> сем</w:t>
      </w:r>
      <w:r>
        <w:rPr>
          <w:sz w:val="28"/>
          <w:szCs w:val="28"/>
        </w:rPr>
        <w:t>ьи. Одна семья получила дополнительную социальную выплату из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бюджета, в связи с рождением ребенка.</w:t>
      </w:r>
    </w:p>
    <w:p w:rsidR="00A718D7" w:rsidRDefault="005A7B9A" w:rsidP="00A718D7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5A7B9A">
        <w:rPr>
          <w:sz w:val="28"/>
          <w:szCs w:val="28"/>
        </w:rPr>
        <w:t>На основании Методики оценки эффективности муниципальной программы приложение 2 к П</w:t>
      </w:r>
      <w:r w:rsidRPr="005A7B9A">
        <w:rPr>
          <w:rStyle w:val="FontStyle24"/>
          <w:sz w:val="28"/>
          <w:szCs w:val="28"/>
          <w:lang w:val="ru-RU"/>
        </w:rPr>
        <w:t xml:space="preserve">орядку разработки реализации и оценки эффективности муниципальных программ Смоленского района Алтайского </w:t>
      </w:r>
      <w:r w:rsidRPr="005A7B9A">
        <w:rPr>
          <w:rStyle w:val="FontStyle24"/>
          <w:sz w:val="28"/>
          <w:szCs w:val="28"/>
          <w:lang w:val="ru-RU"/>
        </w:rPr>
        <w:lastRenderedPageBreak/>
        <w:t>края</w:t>
      </w:r>
      <w:r w:rsidRPr="005A7B9A">
        <w:rPr>
          <w:sz w:val="28"/>
          <w:szCs w:val="28"/>
        </w:rPr>
        <w:t xml:space="preserve">,  утвержденной постановлением Администрации района от </w:t>
      </w:r>
      <w:r w:rsidR="00203192">
        <w:rPr>
          <w:sz w:val="28"/>
          <w:szCs w:val="28"/>
        </w:rPr>
        <w:t>16.12.2022</w:t>
      </w:r>
      <w:r w:rsidRPr="005A7B9A">
        <w:rPr>
          <w:sz w:val="28"/>
          <w:szCs w:val="28"/>
        </w:rPr>
        <w:t xml:space="preserve"> № </w:t>
      </w:r>
      <w:r w:rsidR="00203192">
        <w:rPr>
          <w:sz w:val="28"/>
          <w:szCs w:val="28"/>
        </w:rPr>
        <w:t>1119</w:t>
      </w:r>
      <w:r w:rsidRPr="005A7B9A">
        <w:rPr>
          <w:sz w:val="28"/>
          <w:szCs w:val="28"/>
        </w:rPr>
        <w:t xml:space="preserve">  подготовлен годовой отчет за</w:t>
      </w:r>
      <w:r w:rsidR="009B6D9B">
        <w:rPr>
          <w:sz w:val="28"/>
          <w:szCs w:val="28"/>
        </w:rPr>
        <w:t xml:space="preserve"> 2022</w:t>
      </w:r>
      <w:r w:rsidRPr="005A7B9A">
        <w:rPr>
          <w:sz w:val="28"/>
          <w:szCs w:val="28"/>
        </w:rPr>
        <w:t xml:space="preserve"> год.</w:t>
      </w:r>
    </w:p>
    <w:p w:rsidR="00A718D7" w:rsidRPr="00A718D7" w:rsidRDefault="00A718D7" w:rsidP="00A718D7">
      <w:pPr>
        <w:pStyle w:val="a3"/>
        <w:spacing w:after="0"/>
        <w:ind w:firstLine="540"/>
        <w:contextualSpacing/>
        <w:jc w:val="both"/>
        <w:rPr>
          <w:b/>
          <w:sz w:val="28"/>
          <w:szCs w:val="28"/>
        </w:rPr>
      </w:pP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114"/>
        <w:gridCol w:w="786"/>
        <w:gridCol w:w="1107"/>
        <w:gridCol w:w="1267"/>
        <w:gridCol w:w="987"/>
        <w:gridCol w:w="2002"/>
      </w:tblGrid>
      <w:tr w:rsidR="005A7B9A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Плановые значения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Фактические значения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выполнения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Обоснование отклонения фактического </w:t>
            </w:r>
            <w:proofErr w:type="gramStart"/>
            <w:r w:rsidRPr="005A7B9A">
              <w:rPr>
                <w:rFonts w:ascii="Times New Roman" w:hAnsi="Times New Roman" w:cs="Times New Roman"/>
              </w:rPr>
              <w:t>от</w:t>
            </w:r>
            <w:proofErr w:type="gramEnd"/>
            <w:r w:rsidRPr="005A7B9A">
              <w:rPr>
                <w:rFonts w:ascii="Times New Roman" w:hAnsi="Times New Roman" w:cs="Times New Roman"/>
              </w:rPr>
              <w:t xml:space="preserve"> планового</w:t>
            </w:r>
          </w:p>
        </w:tc>
      </w:tr>
      <w:tr w:rsidR="00B14083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B1408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984E2B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E2B">
              <w:rPr>
                <w:rFonts w:ascii="Times New Roman" w:hAnsi="Times New Roman"/>
              </w:rPr>
              <w:t>Количество молодых семей, улучшивших жилищные условия (в том числе с использованием ипотечных жилищных кредитов и займов) за счет средств бюджета муниципального образования Смоленский район, а также  средств федерального и краевого бюджетов.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AC3B6F" w:rsidRDefault="00984E2B" w:rsidP="0016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  <w:r w:rsidR="00B14083" w:rsidRPr="00AC3B6F">
              <w:rPr>
                <w:rFonts w:ascii="Times New Roman" w:hAnsi="Times New Roman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984E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984E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984E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B14083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84E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84E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 xml:space="preserve">): </w:t>
      </w:r>
      <w:r w:rsidR="00984E2B">
        <w:t>100</w:t>
      </w:r>
      <w:r w:rsidRPr="005A7B9A"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бюджетных ассигнований, предусмотренный на реализацию мероприятий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объем бюджетных ассигнований, направленный на реализацию мероприятий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финансирования реализации мероприятий муниципальной программы %</w:t>
            </w:r>
          </w:p>
        </w:tc>
      </w:tr>
      <w:tr w:rsidR="00984E2B" w:rsidRPr="005A7B9A" w:rsidTr="00FE03A1">
        <w:tc>
          <w:tcPr>
            <w:tcW w:w="1510" w:type="pct"/>
          </w:tcPr>
          <w:p w:rsidR="00984E2B" w:rsidRPr="005A7B9A" w:rsidRDefault="00984E2B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984E2B" w:rsidRPr="009B6D9B" w:rsidRDefault="00984E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1408,5</w:t>
            </w:r>
          </w:p>
        </w:tc>
        <w:tc>
          <w:tcPr>
            <w:tcW w:w="1041" w:type="pct"/>
          </w:tcPr>
          <w:p w:rsidR="00984E2B" w:rsidRPr="009B6D9B" w:rsidRDefault="00984E2B" w:rsidP="005F5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1408,5</w:t>
            </w:r>
          </w:p>
        </w:tc>
        <w:tc>
          <w:tcPr>
            <w:tcW w:w="1180" w:type="pct"/>
          </w:tcPr>
          <w:p w:rsidR="00984E2B" w:rsidRPr="00984E2B" w:rsidRDefault="00984E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84E2B" w:rsidRPr="005A7B9A" w:rsidTr="00FE03A1">
        <w:tc>
          <w:tcPr>
            <w:tcW w:w="1510" w:type="pct"/>
          </w:tcPr>
          <w:p w:rsidR="00984E2B" w:rsidRPr="005A7B9A" w:rsidRDefault="00984E2B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984E2B" w:rsidRPr="009B6D9B" w:rsidRDefault="00984E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755,2</w:t>
            </w:r>
          </w:p>
        </w:tc>
        <w:tc>
          <w:tcPr>
            <w:tcW w:w="1041" w:type="pct"/>
          </w:tcPr>
          <w:p w:rsidR="00984E2B" w:rsidRPr="009B6D9B" w:rsidRDefault="00984E2B" w:rsidP="005F5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755,2</w:t>
            </w:r>
          </w:p>
        </w:tc>
        <w:tc>
          <w:tcPr>
            <w:tcW w:w="1180" w:type="pct"/>
          </w:tcPr>
          <w:p w:rsidR="00984E2B" w:rsidRPr="00984E2B" w:rsidRDefault="00984E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84E2B" w:rsidRPr="005A7B9A" w:rsidTr="00FE03A1">
        <w:tc>
          <w:tcPr>
            <w:tcW w:w="1510" w:type="pct"/>
          </w:tcPr>
          <w:p w:rsidR="00984E2B" w:rsidRPr="005A7B9A" w:rsidRDefault="00984E2B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984E2B" w:rsidRPr="00984E2B" w:rsidRDefault="00984E2B" w:rsidP="00984E2B">
            <w:pPr>
              <w:tabs>
                <w:tab w:val="left" w:pos="899"/>
                <w:tab w:val="center" w:pos="1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621,6</w:t>
            </w:r>
          </w:p>
        </w:tc>
        <w:tc>
          <w:tcPr>
            <w:tcW w:w="1041" w:type="pct"/>
          </w:tcPr>
          <w:p w:rsidR="00984E2B" w:rsidRPr="00984E2B" w:rsidRDefault="00984E2B" w:rsidP="00984E2B">
            <w:pPr>
              <w:tabs>
                <w:tab w:val="left" w:pos="899"/>
                <w:tab w:val="center" w:pos="1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621,6</w:t>
            </w:r>
          </w:p>
        </w:tc>
        <w:tc>
          <w:tcPr>
            <w:tcW w:w="1180" w:type="pct"/>
          </w:tcPr>
          <w:p w:rsidR="00984E2B" w:rsidRPr="005A7B9A" w:rsidRDefault="00984E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41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80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A7B9A" w:rsidRPr="009B6D9B" w:rsidRDefault="00984E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2785,3</w:t>
            </w:r>
          </w:p>
        </w:tc>
        <w:tc>
          <w:tcPr>
            <w:tcW w:w="1041" w:type="pct"/>
          </w:tcPr>
          <w:p w:rsidR="005A7B9A" w:rsidRPr="009B6D9B" w:rsidRDefault="00984E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2785,3</w:t>
            </w:r>
          </w:p>
        </w:tc>
        <w:tc>
          <w:tcPr>
            <w:tcW w:w="1180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 xml:space="preserve">): </w:t>
      </w:r>
      <w:r w:rsidR="009B6D9B" w:rsidRPr="009B6D9B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касающейся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финансирования</w:t>
            </w:r>
          </w:p>
        </w:tc>
      </w:tr>
      <w:tr w:rsidR="005A7B9A" w:rsidRPr="005A7B9A" w:rsidTr="00FE03A1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3B2236" w:rsidRDefault="003B2236" w:rsidP="003B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1.3 -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социальных выплат молодым семьям – участникам Программы, на приобретение или строительство жилья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3B223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2785,3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</w:t>
      </w:r>
      <w:r w:rsidR="003B2236">
        <w:rPr>
          <w:rFonts w:ascii="Times New Roman" w:hAnsi="Times New Roman" w:cs="Times New Roman"/>
        </w:rPr>
        <w:t>1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запланированных к финансированию за счет всех источников на соответствующий отчетный период- </w:t>
      </w:r>
      <w:r w:rsidR="003B2236">
        <w:rPr>
          <w:rFonts w:ascii="Times New Roman" w:hAnsi="Times New Roman" w:cs="Times New Roman"/>
        </w:rPr>
        <w:t>1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A7B9A" w:rsidRPr="009D47D3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</w:t>
      </w:r>
      <w:r w:rsidRPr="009B6D9B">
        <w:rPr>
          <w:rFonts w:ascii="Times New Roman" w:hAnsi="Times New Roman" w:cs="Times New Roman"/>
          <w:sz w:val="24"/>
          <w:szCs w:val="24"/>
        </w:rPr>
        <w:t xml:space="preserve">если плановый объем финансовых ресурсов муниципальной программы (подпрограммы) из всех источников на отчетный год приведен в соответствие с решением о бюджете в установленные </w:t>
      </w:r>
      <w:hyperlink r:id="rId5">
        <w:r w:rsidRPr="009D47D3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9D47D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E00C2F" w:rsidRDefault="005A7B9A" w:rsidP="009B6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7D3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9D47D3">
        <w:rPr>
          <w:rFonts w:ascii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9D47D3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9B6D9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</w:t>
      </w:r>
    </w:p>
    <w:p w:rsidR="005A7B9A" w:rsidRPr="00161AE2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 xml:space="preserve">) составит: </w:t>
      </w:r>
      <w:r w:rsidR="00161AE2" w:rsidRPr="00161AE2">
        <w:rPr>
          <w:rFonts w:ascii="Times New Roman" w:hAnsi="Times New Roman" w:cs="Times New Roman"/>
          <w:b/>
        </w:rPr>
        <w:t xml:space="preserve">100 </w:t>
      </w:r>
      <w:r w:rsidRPr="00161AE2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9273EE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>
        <w:rPr>
          <w:rFonts w:ascii="Times New Roman" w:hAnsi="Times New Roman" w:cs="Times New Roman"/>
          <w:b/>
          <w:color w:val="0A0A0A"/>
        </w:rPr>
        <w:t>з</w:t>
      </w:r>
      <w:r w:rsidR="005A7B9A" w:rsidRPr="005A7B9A">
        <w:rPr>
          <w:rFonts w:ascii="Times New Roman" w:hAnsi="Times New Roman" w:cs="Times New Roman"/>
          <w:b/>
          <w:color w:val="0A0A0A"/>
        </w:rPr>
        <w:t xml:space="preserve">а </w:t>
      </w:r>
      <w:r>
        <w:rPr>
          <w:rFonts w:ascii="Times New Roman" w:hAnsi="Times New Roman" w:cs="Times New Roman"/>
          <w:b/>
          <w:color w:val="0A0A0A"/>
        </w:rPr>
        <w:t>2022</w:t>
      </w:r>
      <w:r w:rsidR="005A7B9A"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="005A7B9A"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3B223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50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3B223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3B223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3B223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По итогам выполнения программа считается реализуемой с </w:t>
      </w:r>
      <w:r w:rsidR="00161AE2" w:rsidRPr="003B2236">
        <w:rPr>
          <w:rFonts w:ascii="Times New Roman" w:hAnsi="Times New Roman" w:cs="Times New Roman"/>
        </w:rPr>
        <w:t>высоким</w:t>
      </w:r>
      <w:r w:rsidRPr="005A7B9A">
        <w:rPr>
          <w:rFonts w:ascii="Times New Roman" w:hAnsi="Times New Roman" w:cs="Times New Roman"/>
        </w:rPr>
        <w:t xml:space="preserve"> уровнем эффективности, т. к. комплексная оценка эффективности  ее реализации составляет </w:t>
      </w:r>
      <w:r w:rsidR="003B2236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%.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A7B9A"/>
    <w:rsid w:val="00000569"/>
    <w:rsid w:val="00161AE2"/>
    <w:rsid w:val="001D4A78"/>
    <w:rsid w:val="00203192"/>
    <w:rsid w:val="00277B58"/>
    <w:rsid w:val="003633F5"/>
    <w:rsid w:val="003B2236"/>
    <w:rsid w:val="003E4B81"/>
    <w:rsid w:val="005A7B9A"/>
    <w:rsid w:val="007A165B"/>
    <w:rsid w:val="009273EE"/>
    <w:rsid w:val="00947367"/>
    <w:rsid w:val="00984E2B"/>
    <w:rsid w:val="009B6D9B"/>
    <w:rsid w:val="009D47D3"/>
    <w:rsid w:val="00A718D7"/>
    <w:rsid w:val="00B14083"/>
    <w:rsid w:val="00E00C2F"/>
    <w:rsid w:val="00EE541C"/>
    <w:rsid w:val="00FB3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81"/>
  </w:style>
  <w:style w:type="paragraph" w:styleId="3">
    <w:name w:val="heading 3"/>
    <w:basedOn w:val="a"/>
    <w:link w:val="30"/>
    <w:uiPriority w:val="99"/>
    <w:qFormat/>
    <w:rsid w:val="00B14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9"/>
    <w:rsid w:val="00B1408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927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азвание1"/>
    <w:basedOn w:val="a0"/>
    <w:rsid w:val="00161AE2"/>
  </w:style>
  <w:style w:type="character" w:styleId="a7">
    <w:name w:val="Hyperlink"/>
    <w:rsid w:val="00161AE2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984E2B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B14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9"/>
    <w:rsid w:val="00B1408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92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азвание1"/>
    <w:basedOn w:val="a0"/>
    <w:rsid w:val="00161AE2"/>
  </w:style>
  <w:style w:type="character" w:styleId="a7">
    <w:name w:val="Hyperlink"/>
    <w:rsid w:val="00161AE2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984E2B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10</cp:revision>
  <dcterms:created xsi:type="dcterms:W3CDTF">2023-02-27T03:28:00Z</dcterms:created>
  <dcterms:modified xsi:type="dcterms:W3CDTF">2023-03-09T08:33:00Z</dcterms:modified>
</cp:coreProperties>
</file>