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СМОЛЕНСКОГО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АЛТАЙСКОГО КРАЯ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right" w:pos="10098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26.02.2024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131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с. Смоленское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81"/>
        <w:gridCol w:w="5371"/>
      </w:tblGrid>
      <w:tr>
        <w:trPr/>
        <w:tc>
          <w:tcPr>
            <w:tcW w:w="44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 утверждении годового отчета о ходе реализации и оценке эффек</w:t>
              <w:softHyphen/>
              <w:t>тивности муниципальной про</w:t>
              <w:softHyphen/>
              <w:t>граммы «Информатизация органов местного самоуправления Смолен</w:t>
              <w:softHyphen/>
              <w:t>ского района Алтайского края»</w:t>
            </w:r>
          </w:p>
        </w:tc>
        <w:tc>
          <w:tcPr>
            <w:tcW w:w="53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48"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z w:val="28"/>
          <w:szCs w:val="28"/>
        </w:rPr>
        <w:tab/>
        <w:t>1. Утвердить годовой отчет за 2023 год о ходе реализации и оценке эффективности муниципальной программы «Информатизация органов местного самоуправления Смоленского района Алтайского края».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>
      <w:pPr>
        <w:pStyle w:val="BodyText"/>
        <w:tabs>
          <w:tab w:val="clear" w:pos="708"/>
          <w:tab w:val="left" w:pos="695" w:leader="none"/>
        </w:tabs>
        <w:spacing w:before="0" w:after="0"/>
        <w:ind w:right="-12"/>
        <w:contextualSpacing/>
        <w:jc w:val="both"/>
        <w:rPr>
          <w:b/>
          <w:szCs w:val="28"/>
        </w:rPr>
      </w:pPr>
      <w:bookmarkStart w:id="1" w:name="sub_2"/>
      <w:bookmarkStart w:id="2" w:name="sub_1_Копия_1"/>
      <w:bookmarkEnd w:id="2"/>
      <w:r>
        <w:rPr>
          <w:b/>
          <w:szCs w:val="28"/>
        </w:rPr>
        <w:tab/>
      </w:r>
      <w:bookmarkEnd w:id="1"/>
    </w:p>
    <w:p>
      <w:pPr>
        <w:pStyle w:val="Normal"/>
        <w:spacing w:lineRule="auto" w:line="240" w:before="0" w:after="0"/>
        <w:ind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right" w:pos="10098" w:leader="none"/>
        </w:tabs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before="0" w:after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auto" w:line="240" w:before="0" w:after="0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57"/>
        <w:ind w:firstLine="504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Смоленского района Алтайского края</w:t>
      </w:r>
    </w:p>
    <w:p>
      <w:pPr>
        <w:pStyle w:val="Normal"/>
        <w:spacing w:lineRule="auto" w:line="240" w:before="113" w:after="0"/>
        <w:ind w:firstLine="504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от _____________  № _____</w:t>
      </w:r>
    </w:p>
    <w:p>
      <w:pPr>
        <w:pStyle w:val="Normal"/>
        <w:spacing w:lineRule="auto" w:line="240" w:before="0" w:after="0"/>
        <w:ind w:firstLine="504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40" w:before="0" w:after="0"/>
        <w:ind w:firstLine="5040"/>
        <w:contextualSpacing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отчет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 ходе реализации и оценке эффективности муниципальной программы «Информатизация органов местного самоуправления Смоленского района Алтайского края» за 2023 год</w:t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Администрации района действует муниципальная программа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«Информатизация органов местного самоуправления Смоленского района Алтайского края»,</w:t>
      </w:r>
      <w:r>
        <w:rPr>
          <w:rFonts w:cs="Times New Roman" w:ascii="Times New Roman" w:hAnsi="Times New Roman"/>
          <w:sz w:val="28"/>
          <w:szCs w:val="28"/>
        </w:rPr>
        <w:t xml:space="preserve"> утвержденная постановлением Администрации района от 29.11.2022 № 1053.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программы: отдел программного обеспечения и информатизации Администрации Смоленского района.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функционирования.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 программы:</w:t>
      </w:r>
    </w:p>
    <w:p>
      <w:pPr>
        <w:pStyle w:val="BodyText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решение следующих задач:</w:t>
      </w:r>
    </w:p>
    <w:p>
      <w:pPr>
        <w:pStyle w:val="BodyText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района;</w:t>
      </w:r>
    </w:p>
    <w:p>
      <w:pPr>
        <w:pStyle w:val="BodyText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импортозамещению цифровых решений и программных продуктов;</w:t>
      </w:r>
    </w:p>
    <w:p>
      <w:pPr>
        <w:pStyle w:val="BodyText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безопасности государственных информационных систем в органах местного самоуправления Смоленского района.</w:t>
      </w:r>
    </w:p>
    <w:p>
      <w:pPr>
        <w:pStyle w:val="BodyText"/>
        <w:spacing w:before="0" w:after="1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2023 г. полностью выполнено мероприятие: 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обслуживание.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по приобретению программного обеспечения общего назначения: операционных систем, офисных пакетов, антивирусного программного обеспечения было выполнено в соответствии с утвержденным планом по переходу органов исполнительной власти и местного самоуправления Алтайского края на преимущественное использование отечественного программного обеспечения в 2023 году.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указанных мероприятий в течение 2023 года было проведено три аукциона: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поставка офисной техники (мониторы, телевизор);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поставку продукции радиоэлектронной промышленности (мониторы);</w:t>
      </w:r>
    </w:p>
    <w:p>
      <w:pPr>
        <w:pStyle w:val="BodyText"/>
        <w:spacing w:before="0"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поставка программного средства антивирусной защиты.</w:t>
      </w:r>
    </w:p>
    <w:p>
      <w:pPr>
        <w:pStyle w:val="ConsPlusTitle"/>
        <w:spacing w:before="120" w:after="0"/>
        <w:ind w:firstLine="567"/>
        <w:contextualSpacing/>
        <w:jc w:val="both"/>
        <w:rPr>
          <w:rFonts w:ascii="Times New Roman" w:hAnsi="Times New Roman" w:cs="Times New Roman"/>
          <w:b w:val="false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На основании Методики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оценки эффективности муниципальной программы приложение 2 к П</w:t>
      </w:r>
      <w:r>
        <w:rPr>
          <w:rStyle w:val="FontStyle24"/>
          <w:b w:val="false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>
        <w:rPr>
          <w:rFonts w:cs="Times New Roman" w:ascii="Times New Roman" w:hAnsi="Times New Roman"/>
          <w:b w:val="false"/>
          <w:sz w:val="28"/>
          <w:szCs w:val="28"/>
        </w:rPr>
        <w:t>, утвержденной постановлением Администрации района от 16.12.2022 № 1119, подготовлен годовой отчет за 2023 год.</w:t>
      </w:r>
    </w:p>
    <w:p>
      <w:pPr>
        <w:pStyle w:val="2"/>
        <w:numPr>
          <w:ilvl w:val="1"/>
          <w:numId w:val="3"/>
        </w:numPr>
        <w:spacing w:before="240" w:after="2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4"/>
        <w:gridCol w:w="3186"/>
        <w:gridCol w:w="741"/>
        <w:gridCol w:w="923"/>
        <w:gridCol w:w="872"/>
        <w:gridCol w:w="904"/>
        <w:gridCol w:w="2456"/>
      </w:tblGrid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п./п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индикаторов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 изм.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Плановые значения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Фактические значения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%, выполнения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Обоснование отклонения фактического от планового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- 40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со сроком эксплуатации более 5 -13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рабочих мест, подключенных к Единой системе электронного документооборота Алтайского края  от общего количества рабочих мест в органах местного самоуправления Смоленского района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45,5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подключены администрации сельских советов, по причине не удовлетворения требованиям по информационной безопасности рабочих мест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рабочих мест подключенных к государственным информационным системам и удовлетворяющих требованиям по информационной безопасности от общего количества рабочих  мест, подключенных к государственным информационным системам в органах местного самоуправления Смоленского района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Общее количество рабочих мест - 49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удовлетворяющих требованиям по информационной безопасности - 25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Доля отечественного программного обеспечения, установленного и используемого Администрацией Смоленского района, от общего объема, используемого программного обеспечения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100,0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Общий объем - 40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количество отечественного программного обеспечения (Астра Линукс) - 6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Итого оценка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345,5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Оценка степени достижения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86,4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BodyText"/>
        <w:spacing w:before="0" w:after="0"/>
        <w:ind w:firstLine="540"/>
        <w:contextualSpacing/>
        <w:rPr>
          <w:lang w:val="en-US"/>
        </w:rPr>
      </w:pPr>
      <w:r>
        <w:rPr>
          <w:lang w:val="en-US"/>
        </w:rPr>
      </w:r>
    </w:p>
    <w:p>
      <w:pPr>
        <w:pStyle w:val="BodyText"/>
        <w:spacing w:before="0" w:after="0"/>
        <w:ind w:firstLine="540"/>
        <w:contextualSpacing/>
        <w:rPr/>
      </w:pPr>
      <w:r>
        <w:rPr/>
        <w:t>Оценка степени достижения целей и решения задач составила (</w:t>
      </w:r>
      <w:r>
        <w:rPr>
          <w:lang w:val="en-US"/>
        </w:rPr>
        <w:t>Cel</w:t>
      </w:r>
      <w:r>
        <w:rPr/>
        <w:t>): 86,4 %</w:t>
      </w:r>
    </w:p>
    <w:p>
      <w:pPr>
        <w:pStyle w:val="Normal"/>
        <w:spacing w:lineRule="auto" w:line="240" w:before="24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 Оценка кассового исполнения муниципальной программы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0"/>
        <w:gridCol w:w="2448"/>
        <w:gridCol w:w="2004"/>
        <w:gridCol w:w="2274"/>
      </w:tblGrid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 финансирования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Федеральный бюджет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Краевой бюджет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Районный бюджет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292,4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99,79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Внебюджетные источники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Всего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292,4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99,79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кассового исполнения муниципальной программы составила (</w:t>
      </w:r>
      <w:r>
        <w:rPr>
          <w:rFonts w:cs="Times New Roman" w:ascii="Times New Roman" w:hAnsi="Times New Roman"/>
          <w:sz w:val="24"/>
          <w:szCs w:val="24"/>
          <w:lang w:val="en-US"/>
        </w:rPr>
        <w:t>Fin</w:t>
      </w:r>
      <w:r>
        <w:rPr>
          <w:rFonts w:cs="Times New Roman" w:ascii="Times New Roman" w:hAnsi="Times New Roman"/>
          <w:sz w:val="24"/>
          <w:szCs w:val="24"/>
        </w:rPr>
        <w:t>):  99,79 %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71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6704"/>
        <w:gridCol w:w="2131"/>
      </w:tblGrid>
      <w:tr>
        <w:trPr>
          <w:trHeight w:val="32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6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Сумма финансирования (тыс. руб.)</w:t>
            </w:r>
          </w:p>
        </w:tc>
      </w:tr>
      <w:tr>
        <w:trPr>
          <w:trHeight w:val="550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6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156,1</w:t>
            </w:r>
          </w:p>
        </w:tc>
      </w:tr>
      <w:tr>
        <w:trPr>
          <w:trHeight w:val="377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6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43,9</w:t>
            </w:r>
          </w:p>
        </w:tc>
      </w:tr>
      <w:tr>
        <w:trPr>
          <w:trHeight w:val="377" w:hRule="atLeast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6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Приобретение и установка оборудования для видеоконференцсвязи в помещении Администрации Смоленского района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93,0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-количество мероприятий, </w:t>
      </w:r>
      <w:r>
        <w:rPr>
          <w:rFonts w:cs="Times New Roman" w:ascii="Times New Roman" w:hAnsi="Times New Roman"/>
          <w:color w:val="000000"/>
        </w:rPr>
        <w:t>по которым осуществлялось финансирование за счет всех источников в отчетном периоде</w:t>
      </w:r>
      <w:r>
        <w:rPr>
          <w:rFonts w:cs="Times New Roman" w:ascii="Times New Roman" w:hAnsi="Times New Roman"/>
        </w:rPr>
        <w:t xml:space="preserve"> – 3 (шт.)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-количество мероприятий, запланированных к финансированию за счет всех источников на соответствующий отчетный период – 3 (шт.)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Mer = Mf / Mp x kl x 100%,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ConsPlusNormal"/>
        <w:spacing w:before="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2">
        <w:r>
          <w:rPr>
            <w:rFonts w:cs="Times New Roman" w:ascii="Times New Roman" w:hAnsi="Times New Roman"/>
            <w:color w:val="0000FF"/>
            <w:sz w:val="24"/>
            <w:szCs w:val="24"/>
          </w:rPr>
          <w:t>статьей 179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3">
        <w:r>
          <w:rPr>
            <w:rFonts w:cs="Times New Roman" w:ascii="Times New Roman" w:hAnsi="Times New Roman"/>
            <w:color w:val="0000FF"/>
            <w:sz w:val="24"/>
            <w:szCs w:val="24"/>
          </w:rPr>
          <w:t>статьей 179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Бюджетного кодекса Российской Федерации сроки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деятельности  (</w:t>
      </w:r>
      <w:r>
        <w:rPr>
          <w:rFonts w:cs="Times New Roman" w:ascii="Times New Roman" w:hAnsi="Times New Roman"/>
          <w:sz w:val="24"/>
          <w:szCs w:val="24"/>
          <w:lang w:val="en-US"/>
        </w:rPr>
        <w:t>Mer</w:t>
      </w:r>
      <w:r>
        <w:rPr>
          <w:rFonts w:cs="Times New Roman" w:ascii="Times New Roman" w:hAnsi="Times New Roman"/>
          <w:sz w:val="24"/>
          <w:szCs w:val="24"/>
        </w:rPr>
        <w:t xml:space="preserve">) составит: 100 </w:t>
      </w:r>
      <w:r>
        <w:rPr>
          <w:rFonts w:cs="Times New Roman" w:ascii="Times New Roman" w:hAnsi="Times New Roman"/>
          <w:b/>
          <w:sz w:val="24"/>
          <w:szCs w:val="24"/>
        </w:rPr>
        <w:t>%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 = Cel x 0,5 + Fin x 0,25 + Mer x 0,25,</w:t>
      </w:r>
    </w:p>
    <w:p>
      <w:pPr>
        <w:pStyle w:val="ConsPlusNormal"/>
        <w:spacing w:before="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- комплексная оценка.</w:t>
      </w:r>
    </w:p>
    <w:p>
      <w:pPr>
        <w:pStyle w:val="Normal"/>
        <w:spacing w:lineRule="auto" w:line="240" w:before="24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Сводная таблица оценки эффективности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cs="Times New Roman" w:ascii="Times New Roman" w:hAnsi="Times New Roman"/>
          <w:b/>
          <w:sz w:val="28"/>
          <w:szCs w:val="28"/>
        </w:rPr>
        <w:t>За 2023 год, (%)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6"/>
        <w:gridCol w:w="6942"/>
        <w:gridCol w:w="2233"/>
      </w:tblGrid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Значения</w:t>
            </w:r>
          </w:p>
        </w:tc>
      </w:tr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степени достижения целей и решения задач (</w:t>
            </w:r>
            <w:r>
              <w:rPr>
                <w:rFonts w:cs="Times New Roman" w:ascii="Times New Roman" w:hAnsi="Times New Roman"/>
                <w:lang w:val="en-US"/>
              </w:rPr>
              <w:t>Cel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43,2</w:t>
            </w:r>
          </w:p>
        </w:tc>
      </w:tr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>
              <w:rPr>
                <w:rFonts w:cs="Times New Roman" w:ascii="Times New Roman" w:hAnsi="Times New Roman"/>
              </w:rPr>
              <w:t>Оценка кассового исполнения программы (</w:t>
            </w:r>
            <w:r>
              <w:rPr>
                <w:rFonts w:cs="Times New Roman" w:ascii="Times New Roman" w:hAnsi="Times New Roman"/>
                <w:lang w:val="en-US"/>
              </w:rPr>
              <w:t>Fin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24,94</w:t>
            </w:r>
          </w:p>
        </w:tc>
      </w:tr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>
              <w:rPr>
                <w:rFonts w:cs="Times New Roman" w:ascii="Times New Roman" w:hAnsi="Times New Roman"/>
              </w:rPr>
              <w:t>Оценка деятельности ответственных исполнителей (</w:t>
            </w:r>
            <w:r>
              <w:rPr>
                <w:rFonts w:cs="Times New Roman" w:ascii="Times New Roman" w:hAnsi="Times New Roman"/>
                <w:lang w:val="en-US"/>
              </w:rPr>
              <w:t>Mer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25,0</w:t>
            </w:r>
          </w:p>
        </w:tc>
      </w:tr>
      <w:tr>
        <w:trPr/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Комплексная оценка эффективности реализации программы </w:t>
            </w:r>
            <w:r>
              <w:rPr>
                <w:rFonts w:cs="Times New Roman" w:ascii="Times New Roman" w:hAnsi="Times New Roman"/>
                <w:color w:val="0A0A0A"/>
              </w:rPr>
              <w:t>(</w:t>
            </w:r>
            <w:r>
              <w:rPr>
                <w:rFonts w:cs="Times New Roman" w:ascii="Times New Roman" w:hAnsi="Times New Roman"/>
                <w:color w:val="0A0A0A"/>
                <w:lang w:val="en-US"/>
              </w:rPr>
              <w:t>O</w:t>
            </w:r>
            <w:r>
              <w:rPr>
                <w:rFonts w:cs="Times New Roman" w:ascii="Times New Roman" w:hAnsi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cs="Times New Roman" w:ascii="Times New Roman" w:hAnsi="Times New Roman"/>
                <w:color w:val="0A0A0A"/>
              </w:rPr>
              <w:t>93,14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выполнения программа считается реализуемой с высоким уровнем эффективности, т. к. комплексная оценка эффективности ее реализации составляет 93,14</w:t>
      </w:r>
      <w:bookmarkStart w:id="3" w:name="_GoBack"/>
      <w:bookmarkEnd w:id="3"/>
      <w:r>
        <w:rPr>
          <w:rFonts w:cs="Times New Roman" w:ascii="Times New Roman" w:hAnsi="Times New Roman"/>
          <w:sz w:val="24"/>
          <w:szCs w:val="24"/>
        </w:rPr>
        <w:t xml:space="preserve"> %.</w:t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06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5a7b9a"/>
    <w:rPr>
      <w:rFonts w:ascii="Times New Roman" w:hAnsi="Times New Roman" w:eastAsia="Times New Roman" w:cs="Times New Roman"/>
      <w:sz w:val="24"/>
      <w:szCs w:val="24"/>
    </w:rPr>
  </w:style>
  <w:style w:type="character" w:styleId="FontStyle24" w:customStyle="1">
    <w:name w:val="Font Style24"/>
    <w:qFormat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styleId="Hyperlink">
    <w:name w:val="Hyperlink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5a7b9a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5a7b9a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5a7b9a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NoSpacing">
    <w:name w:val="No Spacing"/>
    <w:qFormat/>
    <w:rsid w:val="005a7b9a"/>
    <w:pPr>
      <w:widowControl/>
      <w:suppressAutoHyphens w:val="true"/>
      <w:bidi w:val="0"/>
      <w:spacing w:before="0" w:after="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2" w:customStyle="1">
    <w:name w:val="Абзац списка2"/>
    <w:basedOn w:val="Normal"/>
    <w:qFormat/>
    <w:rsid w:val="005a7b9a"/>
    <w:pPr>
      <w:spacing w:lineRule="auto" w:line="240" w:before="0" w:after="0"/>
      <w:ind w:left="720"/>
      <w:jc w:val="both"/>
    </w:pPr>
    <w:rPr>
      <w:rFonts w:ascii="Calibri" w:hAnsi="Calibri" w:eastAsia="Times New Roman" w:cs="Times New Roman"/>
      <w:lang w:eastAsia="en-US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3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Application>LibreOffice/7.6.4.1$Windows_X86_64 LibreOffice_project/e19e193f88cd6c0525a17fb7a176ed8e6a3e2aa1</Application>
  <AppVersion>15.0000</AppVersion>
  <Pages>5</Pages>
  <Words>995</Words>
  <Characters>7304</Characters>
  <CharactersWithSpaces>8332</CharactersWithSpaces>
  <Paragraphs>147</Paragraphs>
  <Company>UFK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2023-01-31T05:44:00Z</dcterms:created>
  <dc:creator>User UFK</dc:creator>
  <dc:description/>
  <dc:language>ru-RU</dc:language>
  <cp:lastModifiedBy/>
  <dcterms:modified xsi:type="dcterms:W3CDTF">2024-02-27T12:28:08Z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