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264FAB">
      <w:pPr>
        <w:jc w:val="center"/>
        <w:rPr>
          <w:szCs w:val="28"/>
        </w:rPr>
      </w:pPr>
    </w:p>
    <w:p w:rsidR="004B5021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264FAB">
      <w:pPr>
        <w:rPr>
          <w:szCs w:val="28"/>
        </w:rPr>
      </w:pPr>
    </w:p>
    <w:p w:rsidR="004B5021" w:rsidRPr="00507816" w:rsidRDefault="00ED2E8D" w:rsidP="00264FAB">
      <w:pPr>
        <w:rPr>
          <w:szCs w:val="28"/>
        </w:rPr>
      </w:pPr>
      <w:r>
        <w:rPr>
          <w:szCs w:val="28"/>
        </w:rPr>
        <w:t>30.08.2024</w:t>
      </w:r>
      <w:r w:rsidR="007D4708">
        <w:rPr>
          <w:szCs w:val="28"/>
        </w:rPr>
        <w:t xml:space="preserve">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4C4369">
        <w:rPr>
          <w:szCs w:val="28"/>
        </w:rPr>
        <w:t xml:space="preserve"> </w:t>
      </w:r>
      <w:r w:rsidR="002F5198">
        <w:rPr>
          <w:szCs w:val="28"/>
        </w:rPr>
        <w:t xml:space="preserve">              </w:t>
      </w:r>
      <w:r>
        <w:rPr>
          <w:szCs w:val="28"/>
        </w:rPr>
        <w:t xml:space="preserve">                            № 48</w:t>
      </w:r>
    </w:p>
    <w:p w:rsidR="00A11CD5" w:rsidRDefault="0065325D" w:rsidP="00264FAB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264FAB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555417" w:rsidRDefault="00555417" w:rsidP="005554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выполнении целей и задач </w:t>
            </w:r>
            <w:r>
              <w:rPr>
                <w:bCs/>
                <w:szCs w:val="28"/>
              </w:rPr>
              <w:t xml:space="preserve"> Страт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гии социально-экономического разв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тия Смоленского района Алтайского края до 2035 года  по состоянию на 01.01.2024 года</w:t>
            </w:r>
            <w:r>
              <w:rPr>
                <w:szCs w:val="28"/>
              </w:rPr>
              <w:t xml:space="preserve"> </w:t>
            </w:r>
          </w:p>
          <w:p w:rsidR="00412FD9" w:rsidRPr="006F2C98" w:rsidRDefault="00412FD9" w:rsidP="00555417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264FAB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7D4708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264FAB" w:rsidRDefault="00F17A42" w:rsidP="007D4708">
      <w:pPr>
        <w:ind w:firstLine="349"/>
        <w:jc w:val="both"/>
        <w:rPr>
          <w:szCs w:val="28"/>
        </w:rPr>
      </w:pPr>
      <w:r>
        <w:rPr>
          <w:szCs w:val="28"/>
        </w:rPr>
        <w:t xml:space="preserve">Заслушав информацию  начальника Управления экономики Администрации района Комаровой Н.В. о выполнении целей и задач </w:t>
      </w:r>
      <w:r>
        <w:rPr>
          <w:bCs/>
          <w:szCs w:val="28"/>
        </w:rPr>
        <w:t xml:space="preserve"> Стратегии социально-экономического развития Смоленского района Алтайского края до 2035 года  по состоянию на 01.01.2024 года</w:t>
      </w:r>
      <w:r w:rsidR="00264FAB">
        <w:t>,</w:t>
      </w:r>
      <w:r w:rsidR="004E78E6">
        <w:t xml:space="preserve"> руководствуясь пунктом 19 статьи 26</w:t>
      </w:r>
      <w:r w:rsidR="004E78E6">
        <w:rPr>
          <w:szCs w:val="28"/>
        </w:rPr>
        <w:t xml:space="preserve"> Устава муниципального образования Смоленский район Алтайского края, </w:t>
      </w:r>
      <w:r w:rsidR="00264FAB">
        <w:rPr>
          <w:szCs w:val="28"/>
        </w:rPr>
        <w:t xml:space="preserve"> Смоленское районное Собрание депутатов РЕШИЛО:</w:t>
      </w:r>
    </w:p>
    <w:p w:rsidR="00264FAB" w:rsidRDefault="00264FAB" w:rsidP="00264FAB">
      <w:pPr>
        <w:jc w:val="both"/>
        <w:rPr>
          <w:szCs w:val="28"/>
        </w:rPr>
      </w:pPr>
    </w:p>
    <w:p w:rsidR="00133764" w:rsidRDefault="00133764" w:rsidP="00133764">
      <w:pPr>
        <w:ind w:firstLine="349"/>
        <w:contextualSpacing/>
        <w:jc w:val="both"/>
        <w:rPr>
          <w:szCs w:val="28"/>
        </w:rPr>
      </w:pPr>
      <w:r>
        <w:rPr>
          <w:szCs w:val="28"/>
        </w:rPr>
        <w:t xml:space="preserve">1. Информацию о выполнении целей и задач </w:t>
      </w:r>
      <w:r>
        <w:rPr>
          <w:bCs/>
          <w:szCs w:val="28"/>
        </w:rPr>
        <w:t xml:space="preserve"> Стратегии социально-экономического развития Смоленского района Алтайского края до 2035 года  по состоянию на 01.01.2024 года</w:t>
      </w:r>
      <w:r>
        <w:rPr>
          <w:szCs w:val="28"/>
        </w:rPr>
        <w:t xml:space="preserve"> принять к сведению (прилагается).</w:t>
      </w:r>
    </w:p>
    <w:p w:rsidR="00133764" w:rsidRDefault="00133764" w:rsidP="00133764">
      <w:pPr>
        <w:ind w:firstLine="349"/>
        <w:contextualSpacing/>
        <w:jc w:val="both"/>
        <w:rPr>
          <w:szCs w:val="28"/>
        </w:rPr>
      </w:pPr>
    </w:p>
    <w:p w:rsidR="00264FAB" w:rsidRDefault="00133764" w:rsidP="00133764">
      <w:pPr>
        <w:ind w:firstLine="349"/>
        <w:contextualSpacing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133764" w:rsidRDefault="00133764" w:rsidP="00133764">
      <w:pPr>
        <w:ind w:firstLine="349"/>
        <w:contextualSpacing/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264FAB" w:rsidRDefault="00264FAB" w:rsidP="00264FAB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  </w:t>
      </w:r>
      <w:r w:rsidR="004E78E6">
        <w:rPr>
          <w:szCs w:val="28"/>
        </w:rPr>
        <w:t xml:space="preserve">                  А. А.Герасименко</w:t>
      </w: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ind w:firstLine="567"/>
        <w:jc w:val="both"/>
        <w:rPr>
          <w:szCs w:val="28"/>
        </w:rPr>
      </w:pPr>
    </w:p>
    <w:p w:rsidR="00264FAB" w:rsidRDefault="00264FAB" w:rsidP="00927423">
      <w:pPr>
        <w:jc w:val="both"/>
        <w:rPr>
          <w:szCs w:val="28"/>
        </w:rPr>
      </w:pPr>
    </w:p>
    <w:p w:rsidR="00133764" w:rsidRDefault="00133764" w:rsidP="00133764">
      <w:pPr>
        <w:jc w:val="both"/>
        <w:rPr>
          <w:szCs w:val="28"/>
        </w:rPr>
      </w:pPr>
    </w:p>
    <w:p w:rsidR="008173FF" w:rsidRDefault="008173FF" w:rsidP="00133764">
      <w:pPr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608"/>
        <w:gridCol w:w="5245"/>
      </w:tblGrid>
      <w:tr w:rsidR="00264FAB" w:rsidTr="00264FAB">
        <w:trPr>
          <w:trHeight w:val="1078"/>
        </w:trPr>
        <w:tc>
          <w:tcPr>
            <w:tcW w:w="4608" w:type="dxa"/>
          </w:tcPr>
          <w:p w:rsidR="00264FAB" w:rsidRDefault="00264FAB" w:rsidP="00264FAB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245" w:type="dxa"/>
          </w:tcPr>
          <w:p w:rsidR="000B378A" w:rsidRDefault="000B378A" w:rsidP="00264FAB">
            <w:pPr>
              <w:rPr>
                <w:szCs w:val="28"/>
              </w:rPr>
            </w:pP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ПРИЛОЖЕНИЕ</w:t>
            </w: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к  решению Смоленского районного </w:t>
            </w: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Собрания депутатов</w:t>
            </w:r>
          </w:p>
          <w:p w:rsidR="00264FAB" w:rsidRDefault="00ED2E8D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от 30.08.2024 № 48</w:t>
            </w:r>
            <w:r w:rsidR="00264FAB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4FAB" w:rsidRDefault="00264FAB" w:rsidP="007D4708">
      <w:pPr>
        <w:rPr>
          <w:szCs w:val="28"/>
        </w:rPr>
      </w:pPr>
    </w:p>
    <w:p w:rsidR="007D4708" w:rsidRDefault="007D4708" w:rsidP="00264FAB">
      <w:pPr>
        <w:jc w:val="center"/>
        <w:rPr>
          <w:szCs w:val="28"/>
        </w:rPr>
      </w:pPr>
    </w:p>
    <w:p w:rsidR="00264FAB" w:rsidRDefault="00264FAB" w:rsidP="00264FAB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AE1304" w:rsidRDefault="00AE1304" w:rsidP="00AE1304">
      <w:pPr>
        <w:ind w:firstLine="425"/>
        <w:jc w:val="center"/>
        <w:rPr>
          <w:b/>
          <w:spacing w:val="-7"/>
          <w:szCs w:val="28"/>
        </w:rPr>
      </w:pPr>
      <w:bookmarkStart w:id="0" w:name="_Toc53968106"/>
      <w:r>
        <w:rPr>
          <w:szCs w:val="28"/>
        </w:rPr>
        <w:t xml:space="preserve">о выполнении целей и задач </w:t>
      </w:r>
      <w:r>
        <w:rPr>
          <w:bCs/>
          <w:szCs w:val="28"/>
        </w:rPr>
        <w:t xml:space="preserve"> Стратегии социально-экономического разв</w:t>
      </w:r>
      <w:r>
        <w:rPr>
          <w:bCs/>
          <w:szCs w:val="28"/>
        </w:rPr>
        <w:t>и</w:t>
      </w:r>
      <w:r>
        <w:rPr>
          <w:bCs/>
          <w:szCs w:val="28"/>
        </w:rPr>
        <w:t>тия Смоленского района Алтайского края до 2035 года  по состоянию на 01.01.2024 года</w:t>
      </w:r>
    </w:p>
    <w:p w:rsidR="00AE1304" w:rsidRDefault="00AE1304" w:rsidP="00AE1304">
      <w:pPr>
        <w:jc w:val="both"/>
        <w:rPr>
          <w:b/>
          <w:spacing w:val="-7"/>
          <w:szCs w:val="28"/>
        </w:rPr>
      </w:pPr>
    </w:p>
    <w:p w:rsidR="00AE1304" w:rsidRDefault="00AE1304" w:rsidP="00AE1304">
      <w:pPr>
        <w:ind w:firstLine="425"/>
        <w:jc w:val="both"/>
        <w:rPr>
          <w:spacing w:val="-7"/>
          <w:szCs w:val="28"/>
        </w:rPr>
      </w:pPr>
      <w:r>
        <w:rPr>
          <w:spacing w:val="-7"/>
          <w:szCs w:val="28"/>
        </w:rPr>
        <w:t>Решением Смоленского районного Собрания депутатов от 30.04.2021 №18 у</w:t>
      </w:r>
      <w:r>
        <w:rPr>
          <w:spacing w:val="-7"/>
          <w:szCs w:val="28"/>
        </w:rPr>
        <w:t>т</w:t>
      </w:r>
      <w:r>
        <w:rPr>
          <w:spacing w:val="-7"/>
          <w:szCs w:val="28"/>
        </w:rPr>
        <w:t>верждена «Стратегия социально-экономического развития муниципального образ</w:t>
      </w:r>
      <w:r>
        <w:rPr>
          <w:spacing w:val="-7"/>
          <w:szCs w:val="28"/>
        </w:rPr>
        <w:t>о</w:t>
      </w:r>
      <w:r>
        <w:rPr>
          <w:spacing w:val="-7"/>
          <w:szCs w:val="28"/>
        </w:rPr>
        <w:t xml:space="preserve">вания Смоленский район Алтайского края до 2035 года». </w:t>
      </w:r>
    </w:p>
    <w:p w:rsidR="00AE1304" w:rsidRDefault="00AE1304" w:rsidP="00AE1304">
      <w:pPr>
        <w:ind w:right="11" w:firstLine="708"/>
        <w:jc w:val="both"/>
        <w:rPr>
          <w:rFonts w:cstheme="minorBidi"/>
          <w:szCs w:val="28"/>
        </w:rPr>
      </w:pPr>
      <w:r>
        <w:rPr>
          <w:szCs w:val="28"/>
        </w:rPr>
        <w:t>Стратегия социально-экономического развития Смоленского района А</w:t>
      </w:r>
      <w:r>
        <w:rPr>
          <w:szCs w:val="28"/>
        </w:rPr>
        <w:t>л</w:t>
      </w:r>
      <w:r>
        <w:rPr>
          <w:szCs w:val="28"/>
        </w:rPr>
        <w:t>тайского края до 2035 года (далее – «Стратегия») является документом страт</w:t>
      </w:r>
      <w:r>
        <w:rPr>
          <w:szCs w:val="28"/>
        </w:rPr>
        <w:t>е</w:t>
      </w:r>
      <w:r>
        <w:rPr>
          <w:szCs w:val="28"/>
        </w:rPr>
        <w:t>гического планирования, в котором определены приоритеты, цели и задачи с</w:t>
      </w:r>
      <w:r>
        <w:rPr>
          <w:szCs w:val="28"/>
        </w:rPr>
        <w:t>о</w:t>
      </w:r>
      <w:r>
        <w:rPr>
          <w:szCs w:val="28"/>
        </w:rPr>
        <w:t>циально-экономического развития Смоленского района Алтайского края на долгосрочный период.</w:t>
      </w:r>
    </w:p>
    <w:p w:rsidR="00AE1304" w:rsidRDefault="00AE1304" w:rsidP="00AE1304">
      <w:pPr>
        <w:ind w:firstLine="425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Основной механизм реализации Стратегии осуществляется через исполнение мероприятий среднесрочных и долгосрочных программ социально-экономического развития района. </w:t>
      </w:r>
    </w:p>
    <w:p w:rsidR="00AE1304" w:rsidRDefault="00AE1304" w:rsidP="00AE1304">
      <w:pPr>
        <w:ind w:firstLine="425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 Ежегодно разрабатывается и утверждается среднесрочный прогноз социально-экономического развития района (на трехлетний период). Прогноз формируется на вариативной основе (2 варианта развития событий) по видам экономической де</w:t>
      </w:r>
      <w:r>
        <w:rPr>
          <w:spacing w:val="-7"/>
          <w:szCs w:val="28"/>
        </w:rPr>
        <w:t>я</w:t>
      </w:r>
      <w:r>
        <w:rPr>
          <w:spacing w:val="-7"/>
          <w:szCs w:val="28"/>
        </w:rPr>
        <w:t>тельности, секторам и сферам экономики. Анализируя фактические данные за п</w:t>
      </w:r>
      <w:r>
        <w:rPr>
          <w:spacing w:val="-7"/>
          <w:szCs w:val="28"/>
        </w:rPr>
        <w:t>о</w:t>
      </w:r>
      <w:r>
        <w:rPr>
          <w:spacing w:val="-7"/>
          <w:szCs w:val="28"/>
        </w:rPr>
        <w:t xml:space="preserve">следние два года и прогнозируется развитие социально-экономических процессов.  </w:t>
      </w:r>
    </w:p>
    <w:p w:rsidR="00AE1304" w:rsidRDefault="00AE1304" w:rsidP="00AE1304">
      <w:pPr>
        <w:ind w:firstLine="425"/>
        <w:jc w:val="both"/>
        <w:rPr>
          <w:spacing w:val="-7"/>
          <w:szCs w:val="28"/>
        </w:rPr>
      </w:pPr>
      <w:r>
        <w:rPr>
          <w:spacing w:val="-7"/>
          <w:szCs w:val="28"/>
        </w:rPr>
        <w:t>Утверждается среднесрочный финансовый план на трехлетний период.  Ежего</w:t>
      </w:r>
      <w:r>
        <w:rPr>
          <w:spacing w:val="-7"/>
          <w:szCs w:val="28"/>
        </w:rPr>
        <w:t>д</w:t>
      </w:r>
      <w:r>
        <w:rPr>
          <w:spacing w:val="-7"/>
          <w:szCs w:val="28"/>
        </w:rPr>
        <w:t>но в рамках Указа Президента РФ от 28.04.2008 №607 «Об оценке эффективности деятельности органов местного самоуправления городских округов и муниципал</w:t>
      </w:r>
      <w:r>
        <w:rPr>
          <w:spacing w:val="-7"/>
          <w:szCs w:val="28"/>
        </w:rPr>
        <w:t>ь</w:t>
      </w:r>
      <w:r>
        <w:rPr>
          <w:spacing w:val="-7"/>
          <w:szCs w:val="28"/>
        </w:rPr>
        <w:t>ных районов» формируется доклад о достигнутых значениях показателей для оце</w:t>
      </w:r>
      <w:r>
        <w:rPr>
          <w:spacing w:val="-7"/>
          <w:szCs w:val="28"/>
        </w:rPr>
        <w:t>н</w:t>
      </w:r>
      <w:r>
        <w:rPr>
          <w:spacing w:val="-7"/>
          <w:szCs w:val="28"/>
        </w:rPr>
        <w:t xml:space="preserve">ки эффективности деятельности органов местного самоуправления за истекший год. </w:t>
      </w:r>
    </w:p>
    <w:p w:rsidR="00AE1304" w:rsidRDefault="00AE1304" w:rsidP="00AE1304">
      <w:pPr>
        <w:pStyle w:val="af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создания правовых, организационных и финансовых условий для комплексного социально-экономического развития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Смоленский район Алтайского края, повышения благосостояния и улучш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качества жизни населения, между Правительством Алтайского края и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министрацией Смоленского района Алтайского края, ежегодно заключается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глашение о взаимодействии в области планирования социально-экономического развития на очередной финансовый год.</w:t>
      </w:r>
    </w:p>
    <w:p w:rsidR="00AE1304" w:rsidRDefault="00AE1304" w:rsidP="00AE1304">
      <w:pPr>
        <w:ind w:firstLine="425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 В соглашении индикаторы сформированы по разделам – демографический п</w:t>
      </w:r>
      <w:r>
        <w:rPr>
          <w:spacing w:val="-7"/>
          <w:szCs w:val="28"/>
        </w:rPr>
        <w:t>о</w:t>
      </w:r>
      <w:r>
        <w:rPr>
          <w:spacing w:val="-7"/>
          <w:szCs w:val="28"/>
        </w:rPr>
        <w:t>тенциал, рынок труда и уровень жизни; качество управления местным бюджетом; развитие экономического потенциала; инфраструктурный потенциал; развитие с</w:t>
      </w:r>
      <w:r>
        <w:rPr>
          <w:spacing w:val="-7"/>
          <w:szCs w:val="28"/>
        </w:rPr>
        <w:t>о</w:t>
      </w:r>
      <w:r>
        <w:rPr>
          <w:spacing w:val="-7"/>
          <w:szCs w:val="28"/>
        </w:rPr>
        <w:t xml:space="preserve">циальной инфраструктуры; развитие муниципального управления; индикаторы в области энергосбережения и повышения энергетической эффективности. </w:t>
      </w:r>
    </w:p>
    <w:p w:rsidR="00AE1304" w:rsidRDefault="00AE1304" w:rsidP="00AE1304">
      <w:pPr>
        <w:pStyle w:val="af1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Уровень выполнения Соглашений и количество выполненных в них 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зателей в анализируемом периоде (2019 - 2023 годы):  </w:t>
      </w:r>
    </w:p>
    <w:p w:rsidR="00AE1304" w:rsidRDefault="00AE1304" w:rsidP="00AE1304">
      <w:pPr>
        <w:pStyle w:val="af1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2019 году было 61, выполнено – 39, не выполнено -  22. Процент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обязательств к общему количеству показателей – 63,9%;</w:t>
      </w:r>
    </w:p>
    <w:p w:rsidR="00AE1304" w:rsidRDefault="00AE1304" w:rsidP="00AE1304">
      <w:pPr>
        <w:pStyle w:val="ab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в 2020 году было 66, выполнено – 37, не выполнено -  29. Процент в</w:t>
      </w:r>
      <w:r>
        <w:rPr>
          <w:szCs w:val="28"/>
        </w:rPr>
        <w:t>ы</w:t>
      </w:r>
      <w:r>
        <w:rPr>
          <w:szCs w:val="28"/>
        </w:rPr>
        <w:t>полнения обязательств к общему количеству показателей – 56,1%;</w:t>
      </w:r>
    </w:p>
    <w:p w:rsidR="00AE1304" w:rsidRDefault="00AE1304" w:rsidP="00AE1304">
      <w:pPr>
        <w:pStyle w:val="ab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 2021 году было 68,  выполнено – 33, не выполнено -  36. Процент в</w:t>
      </w:r>
      <w:r>
        <w:rPr>
          <w:szCs w:val="28"/>
        </w:rPr>
        <w:t>ы</w:t>
      </w:r>
      <w:r>
        <w:rPr>
          <w:szCs w:val="28"/>
        </w:rPr>
        <w:t>полнения обязательств к общему количеству показателей – 47,8%;</w:t>
      </w:r>
    </w:p>
    <w:p w:rsidR="00AE1304" w:rsidRDefault="00AE1304" w:rsidP="00AE1304">
      <w:pPr>
        <w:pStyle w:val="ab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 2022 году было 66,  выполнено– 44, не выполнено - 22. Процент выпо</w:t>
      </w:r>
      <w:r>
        <w:rPr>
          <w:szCs w:val="28"/>
        </w:rPr>
        <w:t>л</w:t>
      </w:r>
      <w:r>
        <w:rPr>
          <w:szCs w:val="28"/>
        </w:rPr>
        <w:t>нения обязательств к общему количеству показателей – 66,7%;</w:t>
      </w:r>
    </w:p>
    <w:p w:rsidR="00AE1304" w:rsidRPr="00AE1304" w:rsidRDefault="00AE1304" w:rsidP="00AE1304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Cs w:val="28"/>
        </w:rPr>
        <w:t>в 2023 году было 68, выполнено– 49, не выполнено - 19. Процент выпо</w:t>
      </w:r>
      <w:r>
        <w:rPr>
          <w:szCs w:val="28"/>
        </w:rPr>
        <w:t>л</w:t>
      </w:r>
      <w:r>
        <w:rPr>
          <w:szCs w:val="28"/>
        </w:rPr>
        <w:t>нения показателей составил – 72,1%.</w:t>
      </w:r>
    </w:p>
    <w:p w:rsidR="00AE1304" w:rsidRDefault="00AE1304" w:rsidP="00AE1304">
      <w:pPr>
        <w:ind w:firstLine="425"/>
        <w:jc w:val="both"/>
        <w:rPr>
          <w:spacing w:val="-7"/>
          <w:szCs w:val="28"/>
        </w:rPr>
      </w:pPr>
      <w:r>
        <w:rPr>
          <w:spacing w:val="-7"/>
          <w:szCs w:val="28"/>
        </w:rPr>
        <w:t>Муниципальные программы определяют систему мероприятий (взаимосвяза</w:t>
      </w:r>
      <w:r>
        <w:rPr>
          <w:spacing w:val="-7"/>
          <w:szCs w:val="28"/>
        </w:rPr>
        <w:t>н</w:t>
      </w:r>
      <w:r>
        <w:rPr>
          <w:spacing w:val="-7"/>
          <w:szCs w:val="28"/>
        </w:rPr>
        <w:t>ных по задачам, срокам и ресурсам) для реализации функций местного самоупра</w:t>
      </w:r>
      <w:r>
        <w:rPr>
          <w:spacing w:val="-7"/>
          <w:szCs w:val="28"/>
        </w:rPr>
        <w:t>в</w:t>
      </w:r>
      <w:r>
        <w:rPr>
          <w:spacing w:val="-7"/>
          <w:szCs w:val="28"/>
        </w:rPr>
        <w:t xml:space="preserve">ления и решения задач социально-экономического развития Смоленского района. </w:t>
      </w:r>
    </w:p>
    <w:p w:rsidR="00AE1304" w:rsidRDefault="00AE1304" w:rsidP="00AE1304">
      <w:pPr>
        <w:contextualSpacing/>
        <w:jc w:val="both"/>
        <w:rPr>
          <w:szCs w:val="28"/>
        </w:rPr>
      </w:pPr>
      <w:r>
        <w:rPr>
          <w:szCs w:val="28"/>
        </w:rPr>
        <w:t>С января по декабрь 2023 года в районе действовало 22 муниципальные пр</w:t>
      </w:r>
      <w:r>
        <w:rPr>
          <w:szCs w:val="28"/>
        </w:rPr>
        <w:t>о</w:t>
      </w:r>
      <w:r>
        <w:rPr>
          <w:szCs w:val="28"/>
        </w:rPr>
        <w:t>граммы, на реализацию мероприятий из местного бюджета потрачено 47,3 млн. рублей, что составляет 85,2% к плановому финансированию на 2023 год ( 55,5 млн. руб.). По уровню эффективности исполнения мероприятий программ в 2023 году: из 22 муниципальных программ высокий  уровень эффективности исполнения (90 и выше %) обеспечен по 18-ти  программам; средний  уровень эффективности исполнения (от 90 до 50%) сложился по 4-м программам.</w:t>
      </w:r>
    </w:p>
    <w:p w:rsidR="00AE1304" w:rsidRDefault="00AE1304" w:rsidP="00AE1304">
      <w:pPr>
        <w:ind w:firstLine="425"/>
        <w:jc w:val="both"/>
        <w:rPr>
          <w:szCs w:val="28"/>
        </w:rPr>
      </w:pPr>
      <w:r>
        <w:rPr>
          <w:szCs w:val="28"/>
        </w:rPr>
        <w:t>Анализируя социально-экономическую ситуацию при формировании ра</w:t>
      </w:r>
      <w:r>
        <w:rPr>
          <w:szCs w:val="28"/>
        </w:rPr>
        <w:t>з</w:t>
      </w:r>
      <w:r>
        <w:rPr>
          <w:szCs w:val="28"/>
        </w:rPr>
        <w:t>личных программных документов, показателей и индикаторов можно опред</w:t>
      </w:r>
      <w:r>
        <w:rPr>
          <w:szCs w:val="28"/>
        </w:rPr>
        <w:t>е</w:t>
      </w:r>
      <w:r>
        <w:rPr>
          <w:szCs w:val="28"/>
        </w:rPr>
        <w:t>лить положительные моменты и проблемы развития района. К положительному можно отнести: сохраняется достигнутый уровень производства и продукти</w:t>
      </w:r>
      <w:r>
        <w:rPr>
          <w:szCs w:val="28"/>
        </w:rPr>
        <w:t>в</w:t>
      </w:r>
      <w:r>
        <w:rPr>
          <w:szCs w:val="28"/>
        </w:rPr>
        <w:t>ности в сельскохозяйственной отрасли (растениеводство), устойчивое снабж</w:t>
      </w:r>
      <w:r>
        <w:rPr>
          <w:szCs w:val="28"/>
        </w:rPr>
        <w:t>е</w:t>
      </w:r>
      <w:r>
        <w:rPr>
          <w:szCs w:val="28"/>
        </w:rPr>
        <w:t>ние теплом и водой объектов бюджетной сферы и населения района, организ</w:t>
      </w:r>
      <w:r>
        <w:rPr>
          <w:szCs w:val="28"/>
        </w:rPr>
        <w:t>о</w:t>
      </w:r>
      <w:r>
        <w:rPr>
          <w:szCs w:val="28"/>
        </w:rPr>
        <w:t>вано на хорошем уровне функционирование учреждений культуры и спорта, повышается активность населения в решении социальных вопросов.</w:t>
      </w:r>
    </w:p>
    <w:p w:rsidR="00AE1304" w:rsidRDefault="00AE1304" w:rsidP="00AE1304">
      <w:pPr>
        <w:ind w:firstLine="425"/>
        <w:jc w:val="both"/>
        <w:rPr>
          <w:szCs w:val="28"/>
        </w:rPr>
      </w:pPr>
      <w:r>
        <w:rPr>
          <w:szCs w:val="28"/>
        </w:rPr>
        <w:t>К отрицательным моментам можно отнести:</w:t>
      </w:r>
    </w:p>
    <w:p w:rsidR="00AE1304" w:rsidRDefault="00AE1304" w:rsidP="00AE1304">
      <w:pPr>
        <w:ind w:firstLine="425"/>
        <w:jc w:val="both"/>
        <w:rPr>
          <w:szCs w:val="28"/>
        </w:rPr>
      </w:pPr>
      <w:r>
        <w:rPr>
          <w:szCs w:val="28"/>
        </w:rPr>
        <w:t>- отток трудовых ресурсов и дефицит рабочих мест;</w:t>
      </w:r>
    </w:p>
    <w:p w:rsidR="00AE1304" w:rsidRDefault="00AE1304" w:rsidP="00AE1304">
      <w:pPr>
        <w:ind w:firstLine="425"/>
        <w:jc w:val="both"/>
        <w:rPr>
          <w:szCs w:val="28"/>
        </w:rPr>
      </w:pPr>
      <w:r>
        <w:rPr>
          <w:szCs w:val="28"/>
        </w:rPr>
        <w:t>- низкий уровень заработной платы;</w:t>
      </w:r>
    </w:p>
    <w:p w:rsidR="00AE1304" w:rsidRDefault="00AE1304" w:rsidP="00AE1304">
      <w:pPr>
        <w:ind w:firstLine="425"/>
        <w:jc w:val="both"/>
        <w:rPr>
          <w:szCs w:val="28"/>
        </w:rPr>
      </w:pPr>
      <w:r>
        <w:rPr>
          <w:szCs w:val="28"/>
        </w:rPr>
        <w:t>- низкое участие в краевых и федеральных инвестиционных программах.</w:t>
      </w:r>
    </w:p>
    <w:p w:rsidR="00AE1304" w:rsidRDefault="00AE1304" w:rsidP="00AE1304">
      <w:pPr>
        <w:ind w:firstLine="426"/>
        <w:jc w:val="both"/>
        <w:rPr>
          <w:bCs/>
          <w:szCs w:val="28"/>
        </w:rPr>
      </w:pPr>
      <w:r>
        <w:rPr>
          <w:bCs/>
          <w:szCs w:val="28"/>
        </w:rPr>
        <w:t>По социально-экономическому развитию Смоленский район относится к группе со средним уровнем развития. На протяжении последних трех лет  ра</w:t>
      </w:r>
      <w:r>
        <w:rPr>
          <w:bCs/>
          <w:szCs w:val="28"/>
        </w:rPr>
        <w:t>й</w:t>
      </w:r>
      <w:r>
        <w:rPr>
          <w:bCs/>
          <w:szCs w:val="28"/>
        </w:rPr>
        <w:t xml:space="preserve">он занимает 22 - 23 место в рейтинге районов края. </w:t>
      </w:r>
    </w:p>
    <w:p w:rsidR="00AE1304" w:rsidRDefault="00AE1304" w:rsidP="00AE1304">
      <w:pPr>
        <w:ind w:firstLine="426"/>
        <w:jc w:val="both"/>
        <w:rPr>
          <w:bCs/>
          <w:szCs w:val="28"/>
        </w:rPr>
      </w:pPr>
      <w:r>
        <w:rPr>
          <w:bCs/>
          <w:szCs w:val="28"/>
        </w:rPr>
        <w:t>По итогам 2023 года, район занял 22 место, лидирующие позиции по сл</w:t>
      </w:r>
      <w:r>
        <w:rPr>
          <w:bCs/>
          <w:szCs w:val="28"/>
        </w:rPr>
        <w:t>е</w:t>
      </w:r>
      <w:r>
        <w:rPr>
          <w:bCs/>
          <w:szCs w:val="28"/>
        </w:rPr>
        <w:t>дующим показателям:</w:t>
      </w:r>
    </w:p>
    <w:p w:rsidR="00AE1304" w:rsidRDefault="00AE1304" w:rsidP="00AE1304">
      <w:pPr>
        <w:ind w:firstLine="426"/>
        <w:jc w:val="both"/>
        <w:rPr>
          <w:bCs/>
          <w:szCs w:val="28"/>
        </w:rPr>
      </w:pPr>
    </w:p>
    <w:tbl>
      <w:tblPr>
        <w:tblW w:w="5000" w:type="pct"/>
        <w:tblLook w:val="04A0"/>
      </w:tblPr>
      <w:tblGrid>
        <w:gridCol w:w="7831"/>
        <w:gridCol w:w="2023"/>
      </w:tblGrid>
      <w:tr w:rsidR="00AE1304" w:rsidTr="00AE1304">
        <w:trPr>
          <w:trHeight w:val="170"/>
        </w:trPr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рейтинге</w:t>
            </w:r>
          </w:p>
        </w:tc>
      </w:tr>
      <w:tr w:rsidR="00AE1304" w:rsidTr="00AE1304">
        <w:trPr>
          <w:trHeight w:val="170"/>
        </w:trPr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действие жилых домов на 1000 жителей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1304" w:rsidTr="00AE1304">
        <w:trPr>
          <w:trHeight w:val="170"/>
        </w:trPr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розничного товарооборота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1304" w:rsidTr="00AE1304">
        <w:trPr>
          <w:trHeight w:val="170"/>
        </w:trPr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Оборот общественного питания на душу населения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1304" w:rsidTr="00AE1304">
        <w:trPr>
          <w:trHeight w:val="170"/>
        </w:trPr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ввода жилья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1304" w:rsidTr="00AE1304">
        <w:trPr>
          <w:trHeight w:val="170"/>
        </w:trPr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Уд. вес налоговых и неналоговых доходов в общем объеме расходов бюджета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E1304" w:rsidTr="00AE1304">
        <w:trPr>
          <w:trHeight w:val="170"/>
        </w:trPr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 оборота общественного питания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E1304" w:rsidTr="00AE1304">
        <w:trPr>
          <w:trHeight w:val="170"/>
        </w:trPr>
        <w:tc>
          <w:tcPr>
            <w:tcW w:w="4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на душу населения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AE1304" w:rsidRDefault="00AE1304" w:rsidP="00AE1304">
      <w:pPr>
        <w:ind w:firstLine="720"/>
        <w:contextualSpacing/>
        <w:rPr>
          <w:rFonts w:eastAsiaTheme="minorEastAsia"/>
          <w:bCs/>
          <w:szCs w:val="28"/>
        </w:rPr>
      </w:pPr>
      <w:r>
        <w:rPr>
          <w:bCs/>
          <w:szCs w:val="28"/>
        </w:rPr>
        <w:t>Лидирующие позиции по основным показателям развития сельскохозя</w:t>
      </w:r>
      <w:r>
        <w:rPr>
          <w:bCs/>
          <w:szCs w:val="28"/>
        </w:rPr>
        <w:t>й</w:t>
      </w:r>
      <w:r>
        <w:rPr>
          <w:bCs/>
          <w:szCs w:val="28"/>
        </w:rPr>
        <w:t>ственного производства:</w:t>
      </w:r>
    </w:p>
    <w:tbl>
      <w:tblPr>
        <w:tblW w:w="5000" w:type="pct"/>
        <w:tblLook w:val="04A0"/>
      </w:tblPr>
      <w:tblGrid>
        <w:gridCol w:w="336"/>
        <w:gridCol w:w="7495"/>
        <w:gridCol w:w="2023"/>
      </w:tblGrid>
      <w:tr w:rsidR="00AE1304" w:rsidTr="00AE1304">
        <w:trPr>
          <w:trHeight w:val="43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рейтинге</w:t>
            </w:r>
          </w:p>
        </w:tc>
      </w:tr>
      <w:tr w:rsidR="00AE1304" w:rsidTr="00AE1304">
        <w:trPr>
          <w:trHeight w:val="43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Надой молока в сельхоз организациях на 1 корову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1304" w:rsidTr="00AE1304">
        <w:trPr>
          <w:trHeight w:val="43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по производству молока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1304" w:rsidTr="00AE1304">
        <w:trPr>
          <w:trHeight w:val="43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по надоям молока на 1 корову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1304" w:rsidTr="00AE1304">
        <w:trPr>
          <w:trHeight w:val="43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304" w:rsidRDefault="00AE13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Произведено молока, тонн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304" w:rsidRDefault="00AE130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AE1304" w:rsidRDefault="00AE1304" w:rsidP="00AE1304">
      <w:pPr>
        <w:ind w:firstLine="425"/>
        <w:jc w:val="center"/>
        <w:rPr>
          <w:rFonts w:cstheme="minorBidi"/>
          <w:color w:val="00000A"/>
          <w:sz w:val="24"/>
          <w:szCs w:val="24"/>
        </w:rPr>
      </w:pPr>
    </w:p>
    <w:p w:rsidR="00AE1304" w:rsidRDefault="00AE1304" w:rsidP="00AE1304">
      <w:pPr>
        <w:ind w:firstLine="720"/>
        <w:jc w:val="both"/>
        <w:rPr>
          <w:szCs w:val="28"/>
        </w:rPr>
      </w:pPr>
      <w:r>
        <w:rPr>
          <w:color w:val="00000A"/>
          <w:sz w:val="24"/>
          <w:szCs w:val="24"/>
        </w:rPr>
        <w:t xml:space="preserve"> </w:t>
      </w:r>
      <w:bookmarkEnd w:id="0"/>
      <w:r>
        <w:rPr>
          <w:color w:val="0D0D0D"/>
          <w:szCs w:val="28"/>
        </w:rPr>
        <w:t>Стратегия социально</w:t>
      </w:r>
      <w:r>
        <w:rPr>
          <w:szCs w:val="28"/>
        </w:rPr>
        <w:t xml:space="preserve">-экономического развития Смоленского района до 2035 года предусматривает 3 этапа реализации. </w:t>
      </w:r>
    </w:p>
    <w:p w:rsidR="00AE1304" w:rsidRDefault="00AE1304" w:rsidP="00AE1304">
      <w:pPr>
        <w:ind w:firstLine="720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этап: Создание условий для роста и инвестиций  2020 – 2024 гг. </w:t>
      </w:r>
    </w:p>
    <w:p w:rsidR="00AE1304" w:rsidRDefault="00AE1304" w:rsidP="00AE1304">
      <w:pPr>
        <w:pStyle w:val="ab"/>
        <w:jc w:val="both"/>
        <w:rPr>
          <w:szCs w:val="28"/>
        </w:rPr>
      </w:pPr>
      <w:r>
        <w:rPr>
          <w:szCs w:val="28"/>
        </w:rPr>
        <w:t xml:space="preserve">- совершенствование условий ведения бизнеса, </w:t>
      </w:r>
    </w:p>
    <w:p w:rsidR="00AE1304" w:rsidRDefault="00AE1304" w:rsidP="00AE1304">
      <w:pPr>
        <w:pStyle w:val="ab"/>
        <w:jc w:val="both"/>
        <w:rPr>
          <w:szCs w:val="28"/>
        </w:rPr>
      </w:pPr>
      <w:r>
        <w:rPr>
          <w:szCs w:val="28"/>
        </w:rPr>
        <w:t>- привлечение инвестиций, реализация инвестиционных проектов в эк</w:t>
      </w:r>
      <w:r>
        <w:rPr>
          <w:szCs w:val="28"/>
        </w:rPr>
        <w:t>о</w:t>
      </w:r>
      <w:r>
        <w:rPr>
          <w:szCs w:val="28"/>
        </w:rPr>
        <w:t>номике,</w:t>
      </w:r>
    </w:p>
    <w:p w:rsidR="00AE1304" w:rsidRDefault="00AE1304" w:rsidP="00AE1304">
      <w:pPr>
        <w:pStyle w:val="ab"/>
        <w:jc w:val="both"/>
        <w:rPr>
          <w:szCs w:val="28"/>
        </w:rPr>
      </w:pPr>
      <w:r>
        <w:rPr>
          <w:szCs w:val="28"/>
        </w:rPr>
        <w:t xml:space="preserve">- опережающее создание и развитие объектов социальной и инженерной инфраструктуры, </w:t>
      </w:r>
    </w:p>
    <w:p w:rsidR="00AE1304" w:rsidRDefault="00AE1304" w:rsidP="00AE1304">
      <w:pPr>
        <w:jc w:val="both"/>
        <w:rPr>
          <w:szCs w:val="28"/>
        </w:rPr>
      </w:pPr>
      <w:r>
        <w:rPr>
          <w:szCs w:val="28"/>
        </w:rPr>
        <w:t xml:space="preserve">           - повышение качества жилищно-коммунальных и социальных услуг для населения муниципального образования.</w:t>
      </w:r>
    </w:p>
    <w:p w:rsidR="00AE1304" w:rsidRDefault="00AE1304" w:rsidP="00AE1304">
      <w:pPr>
        <w:rPr>
          <w:color w:val="00000A"/>
          <w:sz w:val="24"/>
          <w:szCs w:val="24"/>
        </w:rPr>
      </w:pPr>
    </w:p>
    <w:p w:rsidR="00AE1304" w:rsidRDefault="00AE1304" w:rsidP="00AE1304">
      <w:pPr>
        <w:pStyle w:val="af1"/>
        <w:tabs>
          <w:tab w:val="left" w:pos="1140"/>
          <w:tab w:val="left" w:pos="93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целей и задач Стратегии  по состоянию на 01.01.2024 года</w:t>
      </w:r>
    </w:p>
    <w:p w:rsidR="00AE1304" w:rsidRDefault="00AE1304" w:rsidP="00AE1304">
      <w:pPr>
        <w:pStyle w:val="af1"/>
        <w:tabs>
          <w:tab w:val="left" w:pos="1140"/>
          <w:tab w:val="left" w:pos="93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0"/>
        <w:gridCol w:w="319"/>
        <w:gridCol w:w="2625"/>
        <w:gridCol w:w="5877"/>
      </w:tblGrid>
      <w:tr w:rsidR="00AE1304" w:rsidTr="00AE1304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комментарии</w:t>
            </w:r>
          </w:p>
        </w:tc>
      </w:tr>
      <w:tr w:rsidR="00AE1304" w:rsidTr="00AE1304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jc w:val="center"/>
              <w:rPr>
                <w:sz w:val="24"/>
                <w:szCs w:val="24"/>
              </w:rPr>
            </w:pPr>
            <w:r>
              <w:t>ПРИОРИТЕТ 1 – ПОВЫШЕНИЕ КАЧЕСТВА ЖИЗНИ НАСЕЛЕНИЯ И РА</w:t>
            </w:r>
            <w:r>
              <w:t>З</w:t>
            </w:r>
            <w:r>
              <w:t>ВИТИЕ ЧЕЛОВЕЧЕСКОГО ПОТЕНЦИАЛА</w:t>
            </w:r>
          </w:p>
        </w:tc>
      </w:tr>
      <w:tr w:rsidR="00AE1304" w:rsidTr="00AE1304">
        <w:trPr>
          <w:trHeight w:val="6511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lastRenderedPageBreak/>
              <w:t>Повышение уровня жизни населения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tabs>
                <w:tab w:val="left" w:pos="459"/>
              </w:tabs>
              <w:jc w:val="both"/>
            </w:pPr>
            <w:r>
              <w:t>Стабилизация числе</w:t>
            </w:r>
            <w:r>
              <w:t>н</w:t>
            </w:r>
            <w:r>
              <w:t>ности постоянного н</w:t>
            </w:r>
            <w:r>
              <w:t>а</w:t>
            </w:r>
            <w:r>
              <w:t>селения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района имеет тенде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цию к снижению. За последние 5 лет по данным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тайкрайстата в результате естественной и миграцио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убыли численность населения района в целом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кратилась на 1256 человек.</w:t>
            </w:r>
          </w:p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Всероссийской переписи населения, проведенной в 2021 году, официальная численность населения на 01.01.2023 года в районе зафиксирована  – 20472 человека, что больше чем было на 01.01.2022 года. Поэтому можно говорить с  2022 года темпы снижения численности населения снижаются.</w:t>
            </w:r>
          </w:p>
          <w:tbl>
            <w:tblPr>
              <w:tblW w:w="5000" w:type="pct"/>
              <w:tblLook w:val="04A0"/>
            </w:tblPr>
            <w:tblGrid>
              <w:gridCol w:w="1509"/>
              <w:gridCol w:w="818"/>
              <w:gridCol w:w="817"/>
              <w:gridCol w:w="716"/>
              <w:gridCol w:w="1011"/>
              <w:gridCol w:w="780"/>
            </w:tblGrid>
            <w:tr w:rsidR="00AE1304">
              <w:trPr>
                <w:trHeight w:val="375"/>
              </w:trPr>
              <w:tc>
                <w:tcPr>
                  <w:tcW w:w="1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Показатели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2019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2021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2022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2023</w:t>
                  </w:r>
                </w:p>
              </w:tc>
            </w:tr>
            <w:tr w:rsidR="00AE1304">
              <w:trPr>
                <w:trHeight w:val="810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Численность населения на конец года - всего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20 879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20 479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19992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20472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20153</w:t>
                  </w:r>
                </w:p>
              </w:tc>
            </w:tr>
            <w:tr w:rsidR="00AE1304">
              <w:trPr>
                <w:trHeight w:val="506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Число роди</w:t>
                  </w:r>
                  <w:r>
                    <w:rPr>
                      <w:color w:val="000000"/>
                      <w:sz w:val="20"/>
                    </w:rPr>
                    <w:t>в</w:t>
                  </w:r>
                  <w:r>
                    <w:rPr>
                      <w:color w:val="000000"/>
                      <w:sz w:val="20"/>
                    </w:rPr>
                    <w:t xml:space="preserve">шихся за год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241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201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170</w:t>
                  </w:r>
                </w:p>
              </w:tc>
            </w:tr>
            <w:tr w:rsidR="00AE1304">
              <w:trPr>
                <w:trHeight w:val="556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Число уме</w:t>
                  </w:r>
                  <w:r>
                    <w:rPr>
                      <w:color w:val="000000"/>
                      <w:sz w:val="20"/>
                    </w:rPr>
                    <w:t>р</w:t>
                  </w:r>
                  <w:r>
                    <w:rPr>
                      <w:color w:val="000000"/>
                      <w:sz w:val="20"/>
                    </w:rPr>
                    <w:t xml:space="preserve">ших за год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397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435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511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385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376</w:t>
                  </w:r>
                </w:p>
              </w:tc>
            </w:tr>
            <w:tr w:rsidR="00AE1304">
              <w:trPr>
                <w:trHeight w:val="945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Естественный прирост (убыль) нас</w:t>
                  </w:r>
                  <w:r>
                    <w:rPr>
                      <w:color w:val="000000"/>
                      <w:sz w:val="20"/>
                    </w:rPr>
                    <w:t>е</w:t>
                  </w:r>
                  <w:r>
                    <w:rPr>
                      <w:color w:val="000000"/>
                      <w:sz w:val="20"/>
                    </w:rPr>
                    <w:t xml:space="preserve">ления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-173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-194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-310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-205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-206</w:t>
                  </w:r>
                </w:p>
              </w:tc>
            </w:tr>
            <w:tr w:rsidR="00AE1304">
              <w:trPr>
                <w:trHeight w:val="473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Число пр</w:t>
                  </w:r>
                  <w:r>
                    <w:rPr>
                      <w:color w:val="000000"/>
                      <w:sz w:val="20"/>
                    </w:rPr>
                    <w:t>и</w:t>
                  </w:r>
                  <w:r>
                    <w:rPr>
                      <w:color w:val="000000"/>
                      <w:sz w:val="20"/>
                    </w:rPr>
                    <w:t xml:space="preserve">бывших за год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484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521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558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625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512</w:t>
                  </w:r>
                </w:p>
              </w:tc>
            </w:tr>
            <w:tr w:rsidR="00AE1304">
              <w:trPr>
                <w:trHeight w:val="600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Число выбы</w:t>
                  </w:r>
                  <w:r>
                    <w:rPr>
                      <w:color w:val="000000"/>
                      <w:sz w:val="20"/>
                    </w:rPr>
                    <w:t>в</w:t>
                  </w:r>
                  <w:r>
                    <w:rPr>
                      <w:color w:val="000000"/>
                      <w:sz w:val="20"/>
                    </w:rPr>
                    <w:t xml:space="preserve">ших за год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841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727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735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760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625</w:t>
                  </w:r>
                </w:p>
              </w:tc>
            </w:tr>
            <w:tr w:rsidR="00AE1304">
              <w:trPr>
                <w:trHeight w:val="600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Миграционная убыль  нас</w:t>
                  </w:r>
                  <w:r>
                    <w:rPr>
                      <w:color w:val="000000"/>
                      <w:sz w:val="20"/>
                    </w:rPr>
                    <w:t>е</w:t>
                  </w:r>
                  <w:r>
                    <w:rPr>
                      <w:color w:val="000000"/>
                      <w:sz w:val="20"/>
                    </w:rPr>
                    <w:t xml:space="preserve">ления 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-357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-206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-177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-135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-113</w:t>
                  </w:r>
                </w:p>
              </w:tc>
            </w:tr>
            <w:tr w:rsidR="00AE1304">
              <w:trPr>
                <w:trHeight w:val="780"/>
              </w:trPr>
              <w:tc>
                <w:tcPr>
                  <w:tcW w:w="1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Общее сниж</w:t>
                  </w:r>
                  <w:r>
                    <w:rPr>
                      <w:color w:val="000000"/>
                      <w:sz w:val="20"/>
                    </w:rPr>
                    <w:t>е</w:t>
                  </w:r>
                  <w:r>
                    <w:rPr>
                      <w:color w:val="000000"/>
                      <w:sz w:val="20"/>
                    </w:rPr>
                    <w:t>ние численн</w:t>
                  </w:r>
                  <w:r>
                    <w:rPr>
                      <w:color w:val="000000"/>
                      <w:sz w:val="20"/>
                    </w:rPr>
                    <w:t>о</w:t>
                  </w:r>
                  <w:r>
                    <w:rPr>
                      <w:color w:val="000000"/>
                      <w:sz w:val="20"/>
                    </w:rPr>
                    <w:t>сти за года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-530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-400</w:t>
                  </w:r>
                </w:p>
              </w:tc>
              <w:tc>
                <w:tcPr>
                  <w:tcW w:w="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-487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+480 по данным переписи</w:t>
                  </w: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-319</w:t>
                  </w:r>
                </w:p>
              </w:tc>
            </w:tr>
          </w:tbl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tabs>
                <w:tab w:val="left" w:pos="459"/>
              </w:tabs>
              <w:jc w:val="both"/>
            </w:pPr>
            <w:r>
              <w:t>Увеличение средней заработной платы на основе роста произв</w:t>
            </w:r>
            <w:r>
              <w:t>о</w:t>
            </w:r>
            <w:r>
              <w:t>дительности труда и создания высокоопл</w:t>
            </w:r>
            <w:r>
              <w:t>а</w:t>
            </w:r>
            <w:r>
              <w:t>чиваемых рабочих мест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средней заработной платы увеличился с 25 569 руб. в 2019 году  до 40 902 руб. в 2023году, рост – 160%.</w:t>
            </w:r>
          </w:p>
          <w:tbl>
            <w:tblPr>
              <w:tblW w:w="5000" w:type="pct"/>
              <w:tblLook w:val="04A0"/>
            </w:tblPr>
            <w:tblGrid>
              <w:gridCol w:w="1621"/>
              <w:gridCol w:w="974"/>
              <w:gridCol w:w="764"/>
              <w:gridCol w:w="764"/>
              <w:gridCol w:w="764"/>
              <w:gridCol w:w="764"/>
            </w:tblGrid>
            <w:tr w:rsidR="00AE1304">
              <w:trPr>
                <w:trHeight w:val="300"/>
              </w:trPr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</w:t>
                  </w:r>
                </w:p>
              </w:tc>
            </w:tr>
            <w:tr w:rsidR="00AE1304">
              <w:trPr>
                <w:trHeight w:val="900"/>
              </w:trPr>
              <w:tc>
                <w:tcPr>
                  <w:tcW w:w="12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Среднемесячная заработная пл</w:t>
                  </w: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</w:rPr>
                    <w:t>та 1 работника</w:t>
                  </w:r>
                </w:p>
              </w:tc>
              <w:tc>
                <w:tcPr>
                  <w:tcW w:w="8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25569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28053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31012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35508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40902</w:t>
                  </w:r>
                </w:p>
              </w:tc>
            </w:tr>
          </w:tbl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 2023 года по уровню среднемеся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заработной платы Смоленский район в Алтайском крае занимает 23 место, по темпу роста заработной платы район занимает 21 место.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rPr>
                <w:sz w:val="24"/>
                <w:szCs w:val="24"/>
              </w:rPr>
            </w:pPr>
            <w:r>
              <w:t>Обеспечение высок</w:t>
            </w:r>
            <w:r>
              <w:t>о</w:t>
            </w:r>
            <w:r>
              <w:t>го уровня занятости населения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безработицы  с 2019 года по 2023 год снизился с 4,1 % до 1,9%.</w:t>
            </w:r>
          </w:p>
          <w:tbl>
            <w:tblPr>
              <w:tblW w:w="5000" w:type="pct"/>
              <w:tblLook w:val="04A0"/>
            </w:tblPr>
            <w:tblGrid>
              <w:gridCol w:w="1457"/>
              <w:gridCol w:w="1007"/>
              <w:gridCol w:w="797"/>
              <w:gridCol w:w="797"/>
              <w:gridCol w:w="797"/>
              <w:gridCol w:w="796"/>
            </w:tblGrid>
            <w:tr w:rsidR="00AE1304">
              <w:trPr>
                <w:trHeight w:val="300"/>
              </w:trPr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</w:t>
                  </w:r>
                </w:p>
              </w:tc>
            </w:tr>
            <w:tr w:rsidR="00AE1304">
              <w:trPr>
                <w:trHeight w:val="600"/>
              </w:trPr>
              <w:tc>
                <w:tcPr>
                  <w:tcW w:w="12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Уровень бе</w:t>
                  </w:r>
                  <w:r>
                    <w:rPr>
                      <w:sz w:val="20"/>
                    </w:rPr>
                    <w:t>з</w:t>
                  </w:r>
                  <w:r>
                    <w:rPr>
                      <w:sz w:val="20"/>
                    </w:rPr>
                    <w:t>работицы (% )</w:t>
                  </w:r>
                </w:p>
              </w:tc>
              <w:tc>
                <w:tcPr>
                  <w:tcW w:w="8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4,1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2,3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1,9</w:t>
                  </w:r>
                </w:p>
              </w:tc>
            </w:tr>
          </w:tbl>
          <w:p w:rsidR="00AE1304" w:rsidRDefault="00AE1304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 2023 года создано новых и модернизировано 126 рабочих мест или 115,6% к уровню 2022 года. 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основном это регистрировались новые индивидуал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 xml:space="preserve">ные предприниматели. </w:t>
            </w:r>
            <w:r>
              <w:rPr>
                <w:color w:val="000000"/>
                <w:sz w:val="24"/>
                <w:szCs w:val="24"/>
              </w:rPr>
              <w:t xml:space="preserve">42 рабочих места создано в  АО «Куриное царство» обособленное подразделение Алтай растениеводство с. Линевское; 78 рабочих мест в малом бизнесе: оптовая и розничная торговля, строительство, ремонт и обслуживание транспорта, перевозки, оказание бытовых услуг. 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благоприятных условий для жизнедеятельности и развития человеческого потенциала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rStyle w:val="10"/>
                <w:rFonts w:eastAsia="Calibri" w:cstheme="minorBidi"/>
                <w:color w:val="00000A"/>
                <w:sz w:val="24"/>
                <w:szCs w:val="24"/>
              </w:rPr>
              <w:t>Обеспечение выполнения обязательств государства по социальной поддержке граждан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 совместно с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 подведомственными Министерству социальной защита Алтайского края, расположенными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района, решается значительный объем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 в сфере социальных услуг, оказываемых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лению.</w:t>
            </w:r>
          </w:p>
          <w:p w:rsidR="00AE1304" w:rsidRDefault="00AE130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реализации Указа Президента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 от 31 мая 2012 № Пр-1438 о вручении персональных поздравлений ветеранам Великой 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чественной войны в связи с традиционно считающ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мися юбилейными днями рождения, начиная с 90-летия, вручаются  поздравления юбилярам района. </w:t>
            </w:r>
          </w:p>
          <w:p w:rsidR="00AE1304" w:rsidRDefault="00AE130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 осуществляется совм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стная  работа  по поддержке семей с низкими доход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ми, но стремящимися повысить своё финансовое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ложение через заключение социального контракта. </w:t>
            </w:r>
          </w:p>
          <w:p w:rsidR="00AE1304" w:rsidRDefault="00AE130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КГБУСО «Комплексном центре социального обслуживания населения Смоленского района» 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деление социального обслуживания на дому трудятся 25 социальных работников, которые обслуживают  одиноких и одиноко проживающих граждан пожилого возраста и инвалидов, детей-инвалидов в 11 населе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пунктах Смоленского района. </w:t>
            </w:r>
          </w:p>
          <w:p w:rsidR="00AE1304" w:rsidRDefault="00AE130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Национального проекта «Демогр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фия» регионального проекта «Старшее поколение» на базе Комплексного центра работает мобильная бриг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да </w:t>
            </w:r>
            <w:r>
              <w:rPr>
                <w:rFonts w:eastAsia="Calibri"/>
                <w:sz w:val="24"/>
                <w:szCs w:val="24"/>
              </w:rPr>
              <w:t xml:space="preserve">по доставке граждан старше 65 лет, проживающих в сельской местности, подлежащих доставке в краевые медицинские организации.  Ежегодно порядка </w:t>
            </w:r>
            <w:r>
              <w:rPr>
                <w:sz w:val="24"/>
                <w:szCs w:val="24"/>
              </w:rPr>
              <w:t xml:space="preserve"> 625 человека  доставляются на диспансеризацию.</w:t>
            </w:r>
          </w:p>
          <w:p w:rsidR="00AE1304" w:rsidRDefault="00AE1304">
            <w:pPr>
              <w:ind w:firstLine="357"/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медицинской помощи и качества предоставляемых медицинских услуг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 г. главный врач КГБУЗ «Смоленская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 районная больница» А.К. Хамрилов,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ставил на сессию Смоленского районного Собрания депутатов информацию «Развитие здравоохранения в Смоленском района, проблемы и пути их решения».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Медицинское обслуживание населения Смоленского района осуществляет КГБУЗ «Смоленская централ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районная больница». В настоящее время здрав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охранение района представлено стационаром на  86 круглосуточных коек. Стационар работает в круглос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точном режиме, оказывает плановую и экстренную помощь. В Сычевской УБ стационар терапия на 5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ек.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структуре ЦРБ находится районная поликлиника, 1 участковая больница (с. Сычевка), 6 врачебных амб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латорий (п. Линевский, п. Верх-Обский, с. Солоновка, с. Точильное., п. Кировский, с. Новотырышкино), 14 ФАПов (с. Александровка, с. Ануйское, п. Заречный, с. Катунское, п. Красный Маяк, п. Красный городок, с. Ленинское, с. Первомайское, с. Песчаное, п. Речной, с. Старотырышкино, с. Степное, п. Усть - Катунь, с. Черновая). 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 апреля 2023года работает Многофункционал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передвижной ФАП. За 2023год совершено 160 выездов, обслужено 1600 пациентов.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2023году в каждом населенном пункте района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мимо амбулаторной помощи и экстренной скорой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дицинской помощи с 20 сентября 2023 года организ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вана служба неотложной медицинской помощи с приемом и передачей вызовов от населения единой диспетчерской службой СМП Алтайского края. Нео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ложная помощь оказывается фельдшером ФАПа, ВА и также центральной бригадой неотложной помощи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журящей ежедневно по району  и базирующейся на площадке стационара ЦРБ.</w:t>
            </w:r>
          </w:p>
          <w:p w:rsidR="00AE1304" w:rsidRDefault="00AE1304">
            <w:pPr>
              <w:pStyle w:val="af1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принята муниципальная программа «Развитие кадрового потенциала в системе здрав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охранения и образования Смоленского района Алта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края», направленная на с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оздание условий для привлечения и закрепления кадров в медицинские и образовательные организации Смоленского района Алтайского края и решения таких задач, как:</w:t>
            </w:r>
          </w:p>
          <w:p w:rsidR="00AE1304" w:rsidRDefault="00AE1304" w:rsidP="00AE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Обеспечение медицинских организаций вр</w:t>
            </w:r>
            <w:r>
              <w:rPr>
                <w:color w:val="191919"/>
                <w:sz w:val="24"/>
                <w:szCs w:val="24"/>
              </w:rPr>
              <w:t>а</w:t>
            </w:r>
            <w:r>
              <w:rPr>
                <w:color w:val="191919"/>
                <w:sz w:val="24"/>
                <w:szCs w:val="24"/>
              </w:rPr>
              <w:t>чебными кадрами в соответствии с потребн</w:t>
            </w:r>
            <w:r>
              <w:rPr>
                <w:color w:val="191919"/>
                <w:sz w:val="24"/>
                <w:szCs w:val="24"/>
              </w:rPr>
              <w:t>о</w:t>
            </w:r>
            <w:r>
              <w:rPr>
                <w:color w:val="191919"/>
                <w:sz w:val="24"/>
                <w:szCs w:val="24"/>
              </w:rPr>
              <w:t>стями;</w:t>
            </w:r>
          </w:p>
          <w:p w:rsidR="00AE1304" w:rsidRDefault="00AE1304" w:rsidP="00AE1304">
            <w:pPr>
              <w:pStyle w:val="ConsPlusCel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оциальных гарантий и льгот уч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телям и медикам;</w:t>
            </w:r>
          </w:p>
          <w:p w:rsidR="00AE1304" w:rsidRDefault="00AE1304" w:rsidP="00AE1304">
            <w:pPr>
              <w:pStyle w:val="ConsPlusCel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Повышение престижа и общественного статуса медицинских и педагогических работников;</w:t>
            </w:r>
          </w:p>
          <w:p w:rsidR="00AE1304" w:rsidRDefault="00AE1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молодых специалистов в</w:t>
            </w:r>
            <w:r>
              <w:rPr>
                <w:color w:val="000000"/>
                <w:sz w:val="24"/>
                <w:szCs w:val="24"/>
              </w:rPr>
              <w:t xml:space="preserve"> организации здравоохранения и образования Смоленского района Алтайского края. 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shd w:val="clear" w:color="auto" w:fill="FFFFFF"/>
              </w:rPr>
              <w:t xml:space="preserve">      В рамках краевой адресной инвестиционной пр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о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граммы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в 2023 году начато строительство поликлин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 xml:space="preserve">ки в с. Смоленское» </w:t>
            </w:r>
            <w:r>
              <w:rPr>
                <w:sz w:val="24"/>
                <w:szCs w:val="24"/>
              </w:rPr>
              <w:t>мощностью 210 посещений в смену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 сумму </w:t>
            </w:r>
            <w:r>
              <w:rPr>
                <w:sz w:val="24"/>
                <w:szCs w:val="24"/>
              </w:rPr>
              <w:t>884 286,3 тыс. руб. за счет краевого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  <w:shd w:val="clear" w:color="auto" w:fill="FFFFFF"/>
              </w:rPr>
              <w:t xml:space="preserve">.  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обеспеченности жильем и улучшение жилищных условий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Динамика объемов жилищного строительства характеризуется устойчивым ростом. В 2019 году по вводу жилья на 1000 жителей Смоленский район 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нимал 5 место среди муниципальных образований А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lastRenderedPageBreak/>
              <w:t>тайского края, было введено в эксплуатацию – 5 470 кв.м.,  в 2023 году – 2-ое место, введено в эксплуат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цию – 13 132 кв.м.</w:t>
            </w:r>
          </w:p>
          <w:p w:rsidR="00AE1304" w:rsidRDefault="00AE1304">
            <w:pPr>
              <w:ind w:firstLine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Уровень обеспеченности населения жили</w:t>
            </w:r>
            <w:r>
              <w:rPr>
                <w:rFonts w:eastAsia="Calibri"/>
                <w:sz w:val="24"/>
                <w:szCs w:val="24"/>
              </w:rPr>
              <w:t>щ</w:t>
            </w:r>
            <w:r>
              <w:rPr>
                <w:rFonts w:eastAsia="Calibri"/>
                <w:sz w:val="24"/>
                <w:szCs w:val="24"/>
              </w:rPr>
              <w:t>ным фондом в среднем по Смоленскому району дост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точно высокий – 30,8 кв. м/чел, он увеличился на 11,7% в 2023 году по сравнению с 2019 годом.</w:t>
            </w:r>
          </w:p>
          <w:p w:rsidR="00AE1304" w:rsidRDefault="00AE1304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Устойчивое развитие образования, повышение качества образовательных услуг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решается через реализацию мероприятий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образования в Смоленском районе» на 2019-2025 годы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 Обеспечение высокого качества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в об</w:t>
            </w:r>
            <w:r>
              <w:rPr>
                <w:sz w:val="24"/>
                <w:szCs w:val="24"/>
              </w:rPr>
              <w:softHyphen/>
              <w:t>разователь</w:t>
            </w:r>
            <w:r>
              <w:rPr>
                <w:sz w:val="24"/>
                <w:szCs w:val="24"/>
              </w:rPr>
              <w:softHyphen/>
              <w:t>ных организациях 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подведомственных Коми</w:t>
            </w:r>
            <w:r>
              <w:rPr>
                <w:sz w:val="24"/>
                <w:szCs w:val="24"/>
              </w:rPr>
              <w:softHyphen/>
              <w:t>тету по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 в со</w:t>
            </w:r>
            <w:r>
              <w:rPr>
                <w:sz w:val="24"/>
                <w:szCs w:val="24"/>
              </w:rPr>
              <w:softHyphen/>
              <w:t>ответствии с меняющимися за</w:t>
            </w:r>
            <w:r>
              <w:rPr>
                <w:sz w:val="24"/>
                <w:szCs w:val="24"/>
              </w:rPr>
              <w:softHyphen/>
              <w:t>просами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 и пер</w:t>
            </w:r>
            <w:r>
              <w:rPr>
                <w:sz w:val="24"/>
                <w:szCs w:val="24"/>
              </w:rPr>
              <w:softHyphen/>
              <w:t>спективными задачами развития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и экономики; создание условий для успешной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</w:t>
            </w:r>
            <w:r>
              <w:rPr>
                <w:sz w:val="24"/>
                <w:szCs w:val="24"/>
              </w:rPr>
              <w:softHyphen/>
              <w:t>лизации и эффективной самореализации детей и подрост</w:t>
            </w:r>
            <w:r>
              <w:rPr>
                <w:sz w:val="24"/>
                <w:szCs w:val="24"/>
              </w:rPr>
              <w:softHyphen/>
              <w:t>ков с после</w:t>
            </w:r>
            <w:r>
              <w:rPr>
                <w:sz w:val="24"/>
                <w:szCs w:val="24"/>
              </w:rPr>
              <w:softHyphen/>
              <w:t>дующей  интеграцией в про</w:t>
            </w:r>
            <w:r>
              <w:rPr>
                <w:sz w:val="24"/>
                <w:szCs w:val="24"/>
              </w:rPr>
              <w:softHyphen/>
              <w:t>цессы социально-эко</w:t>
            </w:r>
            <w:r>
              <w:rPr>
                <w:sz w:val="24"/>
                <w:szCs w:val="24"/>
              </w:rPr>
              <w:softHyphen/>
              <w:t>номического, общест</w:t>
            </w:r>
            <w:r>
              <w:rPr>
                <w:sz w:val="24"/>
                <w:szCs w:val="24"/>
              </w:rPr>
              <w:softHyphen/>
              <w:t>венно-политического и куль</w:t>
            </w:r>
            <w:r>
              <w:rPr>
                <w:sz w:val="24"/>
                <w:szCs w:val="24"/>
              </w:rPr>
              <w:softHyphen/>
              <w:t>турного развития, предупре</w:t>
            </w:r>
            <w:r>
              <w:rPr>
                <w:sz w:val="24"/>
                <w:szCs w:val="24"/>
              </w:rPr>
              <w:softHyphen/>
              <w:t>ждение потерь и увели</w:t>
            </w:r>
            <w:r>
              <w:rPr>
                <w:sz w:val="24"/>
                <w:szCs w:val="24"/>
              </w:rPr>
              <w:softHyphen/>
              <w:t>чение человеческого капи</w:t>
            </w:r>
            <w:r>
              <w:rPr>
                <w:sz w:val="24"/>
                <w:szCs w:val="24"/>
              </w:rPr>
              <w:softHyphen/>
              <w:t>тала района, Алтайского края.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осуществляется мониторинг целевых инд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каторов, перечня мероприятий и объемов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муниципальной программы.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рамках Краевой Адресной Инвестиционной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 в 2019 -2020гг  выполнен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 МБОУ «Смоленская СОШ №1», построена спортивная площадка, выполнен ремонт детского сада «Чайка» п. Кировский.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федерального проекта «Успех каждого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бенка» нацпроект «Образование» в 2021 год 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 капитальный ремонт спортивного зала МБОУ «Ануйская СОШ».</w:t>
            </w:r>
          </w:p>
          <w:p w:rsidR="00AE1304" w:rsidRDefault="00AE1304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десяти общеобразовательных школах района откр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ты </w:t>
            </w:r>
            <w:r>
              <w:rPr>
                <w:sz w:val="24"/>
                <w:szCs w:val="24"/>
              </w:rPr>
              <w:t>центры образования естественно-научной и 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логической направленностей «Точка роста» (в МБОУ «Сычевская СОШ – в 2024 году).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Ежегодно в рамках муниципальной адресной инв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стиционной программы Смоленского района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дится текущий ремонт объектов образования, так в 2023 году на ремонт направлено – 11 822 тыс. руб., в 2022- 13 291 тыс. руб. 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будет проведен капитальный ремонт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детского сада «Малышок» с. Ануйское в рамках Краевой Адресной Инвестиционной Программы.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активного культурного и творческого развития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Задача решается через реализацию мероприятий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культуры  в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ленском районе» на 2021 – 2026  годы</w:t>
            </w:r>
            <w:r>
              <w:rPr>
                <w:bCs/>
                <w:color w:val="000000"/>
                <w:sz w:val="24"/>
                <w:szCs w:val="24"/>
              </w:rPr>
              <w:t xml:space="preserve">» направленная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на с</w:t>
            </w:r>
            <w:r>
              <w:rPr>
                <w:sz w:val="24"/>
                <w:szCs w:val="24"/>
              </w:rPr>
              <w:t>оздание условий для активного культурного и творческого развития. Ежегодные отчеты о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программы размещены на официальном сайте Администрации района.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функционирует одна организация культурно - досугового типа - МБУ «МКДЦ» Смоленского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Алтайского края, которое включает в себя 35 структурных подразделений, из них 15 библиотек.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 работают  клубные формирований, участниками которых стало более 1600 человек.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районе успешно работают 5 народных коллект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вов: 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Народный хор «Серебряна» (Верх – Обского СДК); 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Народный ансамбль русской песни «Узорье» (См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ленский РДК); 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Народный театр (Смоленский РДК);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Народный ансамбль «Сибирячка» (Новотырышки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ского СДК); 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Народный хор «Росинка» МБУ «МКДЦ» Смоленск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(с 2021 года имеет звание «Заслуженный коллектив самодеятельного народного творчества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края»).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 государственной программе «Развитие культуры Алтайского края» в 2021 год : отремонтированы 2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мятника участникам ВОВ (с. Смоленское, с. Точил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ное),  произведен капитальный ремонт ДК (с. Ану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ское),  </w:t>
            </w:r>
            <w:r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выполнен капитальный ремонт Детской школы искусств в с. Смоленское.</w:t>
            </w:r>
          </w:p>
          <w:p w:rsidR="00AE1304" w:rsidRDefault="00AE1304">
            <w:pPr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В 2023 году выполнен ремонт и проведена м</w:t>
            </w:r>
            <w:r>
              <w:rPr>
                <w:sz w:val="24"/>
                <w:szCs w:val="24"/>
                <w:shd w:val="clear" w:color="auto" w:fill="FFFFFF"/>
              </w:rPr>
              <w:t>одерниз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 xml:space="preserve">ция </w:t>
            </w:r>
            <w:r>
              <w:rPr>
                <w:sz w:val="24"/>
                <w:szCs w:val="24"/>
              </w:rPr>
              <w:t>материально-технической базы</w:t>
            </w:r>
            <w:r>
              <w:rPr>
                <w:sz w:val="24"/>
                <w:szCs w:val="24"/>
                <w:shd w:val="clear" w:color="auto" w:fill="FFFFFF"/>
              </w:rPr>
              <w:t xml:space="preserve"> Дома культуры с. Старотырышкино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Федеральному проекту «Культ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 малой Родины».</w:t>
            </w:r>
            <w:r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благоустройства района (транспортно-логистической инфраструктуры, ЖКХ)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Транспортная инфраструктура района представлена дорогами общего пользования. Протяженность ули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но-дорожной сети в районе составляет 558 км.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тивным требованиям по транспортно-эксплуатационным показателям соответствует 10,2% автомобильных дорог общего пользования местного значения.</w:t>
            </w:r>
            <w:r>
              <w:rPr>
                <w:szCs w:val="28"/>
              </w:rPr>
              <w:t xml:space="preserve"> 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Налажено автотранспортное сообщение между селами Смоленского района и междугороднее сообщение до г. Бийск и г. Барнаул. По муниципальным маршрутам регулярных перевозок в границах Смоленского района Алтайского края перевозку пассажиров осуществляет ИП Кобзенко М.Ю.</w:t>
            </w:r>
          </w:p>
          <w:p w:rsidR="00AE1304" w:rsidRDefault="00AE1304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Администрации района действует муниципальная программа «Модернизация жилищно-коммунального комплекса Смоленского района Алтайского края», за период с 2019 по 2023 годы по программе было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правлено на улучшение технического состояния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lastRenderedPageBreak/>
              <w:t>ектов и систем жилищно-коммунального комплекса 90 828,7 тыс. руб. за счет краевого и местного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та.  Основные работы:  техническое перевооружение скважин: с. Смоленское ул. Лесхозная 15д . и  ул.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водская, 128г.;  к</w:t>
            </w:r>
            <w:r>
              <w:rPr>
                <w:color w:val="000000"/>
                <w:sz w:val="24"/>
                <w:szCs w:val="24"/>
              </w:rPr>
              <w:t>апитальный ремонт теплосетей п. Верх-Обский, капитальный ремонт водопровода в с. Ануйское, капитальный ремонт водозаборного узла в с. Точильное.  Проведена замена и ремонт большого количества котлов в котельных. Проводилась реконс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рукция и капитальный ремонт эксплуатационных си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тем на воду, в том числе водонапорных башен.</w:t>
            </w:r>
          </w:p>
          <w:p w:rsidR="00AE1304" w:rsidRDefault="00AE130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01.01.2024 г. на территории Смоленского района осуществляется газификация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тырех населенных пунктов: п. Кировский, с. Точил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ное, с. Новотырышкино и районный центр с.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ское</w:t>
            </w:r>
            <w:r>
              <w:rPr>
                <w:color w:val="000000"/>
                <w:sz w:val="24"/>
                <w:szCs w:val="24"/>
              </w:rPr>
              <w:t xml:space="preserve">. Протяженность </w:t>
            </w:r>
            <w:r>
              <w:rPr>
                <w:sz w:val="24"/>
                <w:szCs w:val="24"/>
              </w:rPr>
              <w:t>газораспределительных сетей на 01.01.2024 года составляет – 294,3 км., увеличившись по сравнению с 2019 годом на 171 км., действует 4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зовых котельных, 2 котельных строятся в 2024 году. Количество домовладений отапливаемых газом на 01.01.24 – 1745ед.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торговли и услуг населению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сеть района включает 191 магазин, из них 3 продовольственных, 14 непродовольственных и 151 – универсальных магазина. В селе Смоленском работает ежедневная универсальная ярмарка.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Одним из качественных показателей состояния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инфраструктуры потребительского рынка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фактическая обеспеченность населения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торговых объектов. Обеспеченность торговыми площадями по итогам 2023 года составила 906,4 кв. м на 1000 жителей, рост к уровню 2022 года – 101,6%.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 ежегодно увеличивается, так за 2023 год он составил 1160,4 млн. рублей или 123,1% относительно 2022 года.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величине оборота розничной торговли на душу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селения по итогам 2023 года район  занимает 7 место в рейтинге районов по основным социально-экономическим показателям</w:t>
            </w:r>
          </w:p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объектов бытового обслуживания населения на 01.01.2024 составило 60 единиц, это те, которые работают на территории района, фактически в Едином реестре субъектов малого 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принимательства их более 100 единиц. Есть те,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рые зарегистрированы на территории Смоленского района, а фактически оказывают услуги в городе Би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ске, Белокурихе или не осуществляют деятельность вообще. </w:t>
            </w:r>
          </w:p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услуг, предоставленных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лению за 2023 год составил 92,8 млн. рублей, темп роста к уровню прошлого года  - 110,1%.</w:t>
            </w:r>
          </w:p>
          <w:tbl>
            <w:tblPr>
              <w:tblW w:w="5000" w:type="pct"/>
              <w:tblLook w:val="04A0"/>
            </w:tblPr>
            <w:tblGrid>
              <w:gridCol w:w="1989"/>
              <w:gridCol w:w="666"/>
              <w:gridCol w:w="746"/>
              <w:gridCol w:w="714"/>
              <w:gridCol w:w="770"/>
              <w:gridCol w:w="766"/>
            </w:tblGrid>
            <w:tr w:rsidR="00AE1304">
              <w:trPr>
                <w:trHeight w:val="660"/>
              </w:trPr>
              <w:tc>
                <w:tcPr>
                  <w:tcW w:w="1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2019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2021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2022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2023</w:t>
                  </w:r>
                </w:p>
              </w:tc>
            </w:tr>
            <w:tr w:rsidR="00AE1304">
              <w:trPr>
                <w:trHeight w:val="720"/>
              </w:trPr>
              <w:tc>
                <w:tcPr>
                  <w:tcW w:w="17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Оборот розничной торговли (млн. руб.)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541,5</w:t>
                  </w:r>
                </w:p>
              </w:tc>
              <w:tc>
                <w:tcPr>
                  <w:tcW w:w="6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643,3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822,6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942,9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1160,4</w:t>
                  </w:r>
                </w:p>
              </w:tc>
            </w:tr>
            <w:tr w:rsidR="00AE1304">
              <w:trPr>
                <w:trHeight w:val="720"/>
              </w:trPr>
              <w:tc>
                <w:tcPr>
                  <w:tcW w:w="17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Платные услуги населению (млн. руб.)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182,6</w:t>
                  </w:r>
                </w:p>
              </w:tc>
              <w:tc>
                <w:tcPr>
                  <w:tcW w:w="6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197,6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87,3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83,7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92,8</w:t>
                  </w:r>
                </w:p>
              </w:tc>
            </w:tr>
          </w:tbl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объему платных услуг на душу населения по итогам 2023 года район  занимает 19 место в ре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тинге районов по основным социально-экономическим показателям. 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widowControl w:val="0"/>
              <w:tabs>
                <w:tab w:val="left" w:pos="317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Созданий условий для укрепления здоровья населения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достигается через реализацию мероприятий 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общественного здоровья в муниципальном образовании Смоленский район Алтайского края на период до2025 года</w:t>
            </w:r>
            <w:r>
              <w:rPr>
                <w:bCs/>
                <w:color w:val="000000"/>
                <w:sz w:val="24"/>
                <w:szCs w:val="24"/>
              </w:rPr>
              <w:t>».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Цель программы: Снижение уровня заболеваемости, смер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и инвалидности, вызванных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на муниципальном уровне, которая позволит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лению достичь наивысшего уровня здоровья и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водительности в каждой возрастной и социальных группах. Ежегодные отчеты о реализации программы размещены на официальном сайте Администрации района.       За 5 лет (с 2019 по 2023 год) в проекте поддержки местных инициатив (ППМИ)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Смоленского района было построено 21 детских игровых и спортивных площадок.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культурой и спортом в 2023 году составила – 58,5%, увеличившись на 13,5% по сравнению с 2019 годом.</w:t>
            </w: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widowControl w:val="0"/>
              <w:tabs>
                <w:tab w:val="left" w:pos="317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экологической ситуации в районе, организация эффективной системы сбора, переработки и утилизации коммунальных отходов, защиты окружающей среды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услуги по обращению с твердыми коммунальными отходами на территории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Смоленский район осуществл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ет региональный оператор </w:t>
            </w:r>
            <w:r>
              <w:rPr>
                <w:rFonts w:eastAsia="Courier New"/>
                <w:sz w:val="24"/>
                <w:szCs w:val="24"/>
                <w:lang w:eastAsia="zh-CN" w:bidi="hi-IN"/>
              </w:rPr>
              <w:t>ООО «Спецобслуживаеие – Плюс»</w:t>
            </w:r>
            <w:r>
              <w:rPr>
                <w:sz w:val="24"/>
                <w:szCs w:val="24"/>
              </w:rPr>
              <w:t>. Полигон включен в региональный реестр как один из немногих в Алтайском крае,  официально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регистрирован. На сегодняшний день региональный оператор складирует на полигоне отходы с 7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 и города Белокурихи. Ситуация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чинает угрожать экологическому благополучию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ления. С марта 2023 года Минприроды Алтайского края и региональный оператор исследуют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сокращения объема складирования на полигоне за счет изменения схемы транспортировки ТКО.</w:t>
            </w:r>
          </w:p>
          <w:p w:rsidR="00AE1304" w:rsidRDefault="00AE1304">
            <w:pPr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 ликвидации мест несанкци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нированных  </w:t>
            </w:r>
            <w:r>
              <w:rPr>
                <w:color w:val="00000A"/>
                <w:sz w:val="24"/>
                <w:szCs w:val="24"/>
              </w:rPr>
              <w:t>размещения отходов. В 2023 году ликв</w:t>
            </w:r>
            <w:r>
              <w:rPr>
                <w:color w:val="00000A"/>
                <w:sz w:val="24"/>
                <w:szCs w:val="24"/>
              </w:rPr>
              <w:t>и</w:t>
            </w:r>
            <w:r>
              <w:rPr>
                <w:color w:val="00000A"/>
                <w:sz w:val="24"/>
                <w:szCs w:val="24"/>
              </w:rPr>
              <w:t xml:space="preserve">дирована свалка в п. Верх-Обский и Усть-Катунь, в 2024 году запланировано – в с. Сычевка, остается еще </w:t>
            </w:r>
            <w:r>
              <w:rPr>
                <w:color w:val="00000A"/>
                <w:sz w:val="24"/>
                <w:szCs w:val="24"/>
              </w:rPr>
              <w:lastRenderedPageBreak/>
              <w:t>в п. Линевский и с. Новотырышкино.</w:t>
            </w:r>
          </w:p>
          <w:p w:rsidR="00AE1304" w:rsidRDefault="00AE1304">
            <w:pPr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lastRenderedPageBreak/>
              <w:t>Обеспечение безопасности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комплексной системы мер по сниж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роста злоупотребл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наркотиками и их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законного оборота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1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достигается через реализацию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 муниципальной программы «Профилактика на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комании и токсикомании на территории Смоленского района на 2019-2024 годы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 программы: созд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ком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плекс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 мер по сни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нию 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 зло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треб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нар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и их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обо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та. Задачи программы:</w:t>
            </w:r>
          </w:p>
          <w:p w:rsidR="00AE1304" w:rsidRDefault="00AE1304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</w:t>
            </w:r>
            <w:r>
              <w:rPr>
                <w:sz w:val="24"/>
                <w:szCs w:val="24"/>
              </w:rPr>
              <w:softHyphen/>
              <w:t>кра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ние мас</w:t>
            </w:r>
            <w:r>
              <w:rPr>
                <w:sz w:val="24"/>
                <w:szCs w:val="24"/>
              </w:rPr>
              <w:softHyphen/>
              <w:t>шта</w:t>
            </w:r>
            <w:r>
              <w:rPr>
                <w:sz w:val="24"/>
                <w:szCs w:val="24"/>
              </w:rPr>
              <w:softHyphen/>
              <w:t>бов рас</w:t>
            </w:r>
            <w:r>
              <w:rPr>
                <w:sz w:val="24"/>
                <w:szCs w:val="24"/>
              </w:rPr>
              <w:softHyphen/>
              <w:t>про</w:t>
            </w:r>
            <w:r>
              <w:rPr>
                <w:sz w:val="24"/>
                <w:szCs w:val="24"/>
              </w:rPr>
              <w:softHyphen/>
              <w:t>стра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ния нар</w:t>
            </w:r>
            <w:r>
              <w:rPr>
                <w:sz w:val="24"/>
                <w:szCs w:val="24"/>
              </w:rPr>
              <w:softHyphen/>
              <w:t>ко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нии и свя</w:t>
            </w:r>
            <w:r>
              <w:rPr>
                <w:sz w:val="24"/>
                <w:szCs w:val="24"/>
              </w:rPr>
              <w:softHyphen/>
              <w:t>зан</w:t>
            </w:r>
            <w:r>
              <w:rPr>
                <w:sz w:val="24"/>
                <w:szCs w:val="24"/>
              </w:rPr>
              <w:softHyphen/>
              <w:t>ных с ней пре</w:t>
            </w:r>
            <w:r>
              <w:rPr>
                <w:sz w:val="24"/>
                <w:szCs w:val="24"/>
              </w:rPr>
              <w:softHyphen/>
              <w:t>ступ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и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ру</w:t>
            </w:r>
            <w:r>
              <w:rPr>
                <w:sz w:val="24"/>
                <w:szCs w:val="24"/>
              </w:rPr>
              <w:softHyphen/>
              <w:t>ше</w:t>
            </w:r>
            <w:r>
              <w:rPr>
                <w:sz w:val="24"/>
                <w:szCs w:val="24"/>
              </w:rPr>
              <w:softHyphen/>
              <w:t>ний;</w:t>
            </w:r>
          </w:p>
          <w:p w:rsidR="00AE1304" w:rsidRDefault="00AE1304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</w:t>
            </w:r>
            <w:r>
              <w:rPr>
                <w:sz w:val="24"/>
                <w:szCs w:val="24"/>
              </w:rPr>
              <w:softHyphen/>
              <w:t>зда</w:t>
            </w:r>
            <w:r>
              <w:rPr>
                <w:sz w:val="24"/>
                <w:szCs w:val="24"/>
              </w:rPr>
              <w:softHyphen/>
              <w:t>ние в рай</w:t>
            </w:r>
            <w:r>
              <w:rPr>
                <w:sz w:val="24"/>
                <w:szCs w:val="24"/>
              </w:rPr>
              <w:softHyphen/>
              <w:t>оне меж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дом</w:t>
            </w:r>
            <w:r>
              <w:rPr>
                <w:sz w:val="24"/>
                <w:szCs w:val="24"/>
              </w:rPr>
              <w:softHyphen/>
              <w:t>ствен</w:t>
            </w:r>
            <w:r>
              <w:rPr>
                <w:sz w:val="24"/>
                <w:szCs w:val="24"/>
              </w:rPr>
              <w:softHyphen/>
              <w:t>ной си</w:t>
            </w:r>
            <w:r>
              <w:rPr>
                <w:sz w:val="24"/>
                <w:szCs w:val="24"/>
              </w:rPr>
              <w:softHyphen/>
              <w:t>сте</w:t>
            </w:r>
            <w:r>
              <w:rPr>
                <w:sz w:val="24"/>
                <w:szCs w:val="24"/>
              </w:rPr>
              <w:softHyphen/>
              <w:t>мы про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дей</w:t>
            </w:r>
            <w:r>
              <w:rPr>
                <w:sz w:val="24"/>
                <w:szCs w:val="24"/>
              </w:rPr>
              <w:softHyphen/>
              <w:t>ствия не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кон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му обо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ту нар</w:t>
            </w:r>
            <w:r>
              <w:rPr>
                <w:sz w:val="24"/>
                <w:szCs w:val="24"/>
              </w:rPr>
              <w:softHyphen/>
              <w:t>ко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ков и про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лак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ки нар</w:t>
            </w:r>
            <w:r>
              <w:rPr>
                <w:sz w:val="24"/>
                <w:szCs w:val="24"/>
              </w:rPr>
              <w:softHyphen/>
              <w:t>ко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нии сре</w:t>
            </w:r>
            <w:r>
              <w:rPr>
                <w:sz w:val="24"/>
                <w:szCs w:val="24"/>
              </w:rPr>
              <w:softHyphen/>
              <w:t>ди раз</w:t>
            </w:r>
            <w:r>
              <w:rPr>
                <w:sz w:val="24"/>
                <w:szCs w:val="24"/>
              </w:rPr>
              <w:softHyphen/>
              <w:t>лич</w:t>
            </w:r>
            <w:r>
              <w:rPr>
                <w:sz w:val="24"/>
                <w:szCs w:val="24"/>
              </w:rPr>
              <w:softHyphen/>
              <w:t>ных групп на</w:t>
            </w:r>
            <w:r>
              <w:rPr>
                <w:sz w:val="24"/>
                <w:szCs w:val="24"/>
              </w:rPr>
              <w:softHyphen/>
              <w:t>се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ния, преж</w:t>
            </w:r>
            <w:r>
              <w:rPr>
                <w:sz w:val="24"/>
                <w:szCs w:val="24"/>
              </w:rPr>
              <w:softHyphen/>
              <w:t>де все</w:t>
            </w:r>
            <w:r>
              <w:rPr>
                <w:sz w:val="24"/>
                <w:szCs w:val="24"/>
              </w:rPr>
              <w:softHyphen/>
              <w:t>го де</w:t>
            </w:r>
            <w:r>
              <w:rPr>
                <w:sz w:val="24"/>
                <w:szCs w:val="24"/>
              </w:rPr>
              <w:softHyphen/>
              <w:t>тей и под</w:t>
            </w:r>
            <w:r>
              <w:rPr>
                <w:sz w:val="24"/>
                <w:szCs w:val="24"/>
              </w:rPr>
              <w:softHyphen/>
              <w:t>рост</w:t>
            </w:r>
            <w:r>
              <w:rPr>
                <w:sz w:val="24"/>
                <w:szCs w:val="24"/>
              </w:rPr>
              <w:softHyphen/>
              <w:t>ков, а так</w:t>
            </w:r>
            <w:r>
              <w:rPr>
                <w:sz w:val="24"/>
                <w:szCs w:val="24"/>
              </w:rPr>
              <w:softHyphen/>
              <w:t>же пре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пре</w:t>
            </w:r>
            <w:r>
              <w:rPr>
                <w:sz w:val="24"/>
                <w:szCs w:val="24"/>
              </w:rPr>
              <w:softHyphen/>
              <w:t>жде</w:t>
            </w:r>
            <w:r>
              <w:rPr>
                <w:sz w:val="24"/>
                <w:szCs w:val="24"/>
              </w:rPr>
              <w:softHyphen/>
              <w:t>ние пре</w:t>
            </w:r>
            <w:r>
              <w:rPr>
                <w:sz w:val="24"/>
                <w:szCs w:val="24"/>
              </w:rPr>
              <w:softHyphen/>
              <w:t>ступ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ний, свя</w:t>
            </w:r>
            <w:r>
              <w:rPr>
                <w:sz w:val="24"/>
                <w:szCs w:val="24"/>
              </w:rPr>
              <w:softHyphen/>
              <w:t>зан</w:t>
            </w:r>
            <w:r>
              <w:rPr>
                <w:sz w:val="24"/>
                <w:szCs w:val="24"/>
              </w:rPr>
              <w:softHyphen/>
              <w:t>ных с нар</w:t>
            </w:r>
            <w:r>
              <w:rPr>
                <w:sz w:val="24"/>
                <w:szCs w:val="24"/>
              </w:rPr>
              <w:softHyphen/>
              <w:t>ко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ми;</w:t>
            </w:r>
          </w:p>
          <w:p w:rsidR="00AE1304" w:rsidRDefault="00AE1304">
            <w:pPr>
              <w:pStyle w:val="af1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 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вер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шен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ние форм и ме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то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дов про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фи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лак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че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ской ра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бо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ты с се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мья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ми, не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со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вер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шен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лет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. Ежегодные отчеты о реализации программы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мещены на официальном сайте Администрации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t>Стабилизация  уровня  преступлений и иных правонарушений на территории района за счет совершенствов</w:t>
            </w:r>
            <w:r>
              <w:t>а</w:t>
            </w:r>
            <w:r>
              <w:t>ния эффективной многоуровневой си</w:t>
            </w:r>
            <w:r>
              <w:t>с</w:t>
            </w:r>
            <w:r>
              <w:t>темы профилактики правонарушений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1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достигается через реализацию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 муниципальной программы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«Профилактика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ступлений и иных правонарушений в Смоленском районе»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2021-2025 годы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 программы: стаб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лизация уровня преступлений и иных правонаруш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на территории района за счет совершенствования эффективной многоуровневой системы профилактики правонарушений.</w:t>
            </w:r>
          </w:p>
          <w:p w:rsidR="00AE1304" w:rsidRDefault="00AE1304">
            <w:pPr>
              <w:pStyle w:val="af1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программы: укрепление сил, средств и материально-технической базы субъектов, реализу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мероприятия в области профилактики преступл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правонарушений, повышение уровня правовой культуры населения, включая формирование  мотив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участвовать в обеспечении правопорядка и соде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ствовать право-охранительным органам 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объединениям правоохранительной 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профилактика правонарушений среди лиц, скло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 противоправному поведению.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Ежегодные отчеты о реализации программы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на официальном сайте Администрации района.</w:t>
            </w: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t>Развитие системы о</w:t>
            </w:r>
            <w:r>
              <w:t>р</w:t>
            </w:r>
            <w:r>
              <w:t>ганизации движения транспортных средств и пешеходов и пов</w:t>
            </w:r>
            <w:r>
              <w:t>ы</w:t>
            </w:r>
            <w:r>
              <w:t>шение безопасности дорожных условий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достигается через реализацию мероприятий  муниципальной программы «</w:t>
            </w:r>
            <w:r>
              <w:rPr>
                <w:color w:val="000000"/>
                <w:sz w:val="24"/>
                <w:szCs w:val="24"/>
              </w:rPr>
              <w:t>Повышение безопасн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дорожного движения в Смоленском районе 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тайского края»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цель программы: </w:t>
            </w:r>
            <w:r>
              <w:rPr>
                <w:color w:val="000000"/>
                <w:sz w:val="24"/>
                <w:szCs w:val="24"/>
              </w:rPr>
              <w:t>сокращение смер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ности от дорожно-транспортных происшествий, в том числе, детской смертности.</w:t>
            </w:r>
          </w:p>
          <w:p w:rsidR="00AE1304" w:rsidRDefault="00AE1304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программы: </w:t>
            </w:r>
            <w:r>
              <w:rPr>
                <w:color w:val="000000"/>
                <w:sz w:val="24"/>
                <w:szCs w:val="24"/>
              </w:rPr>
              <w:t>- предупреждение опасного поведения участников дорожного движения на  дор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гах Смоленского района;</w:t>
            </w:r>
          </w:p>
          <w:p w:rsidR="00AE1304" w:rsidRDefault="00AE1304">
            <w:pPr>
              <w:pStyle w:val="af1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развитие системы организации движения транспортных средств и пешеходов и повышение безопасности дорожных условий.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Ежегодные отчеты о реализации программы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на официальном сайте Администрации района.</w:t>
            </w: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t>Организация эффе</w:t>
            </w:r>
            <w:r>
              <w:t>к</w:t>
            </w:r>
            <w:r>
              <w:t>тивной системы мер антитеррористической и антиэкстремистской направленности для предупреждения угроз террористических и экстремистских пр</w:t>
            </w:r>
            <w:r>
              <w:t>о</w:t>
            </w:r>
            <w:r>
              <w:t>явлений на террит</w:t>
            </w:r>
            <w:r>
              <w:t>о</w:t>
            </w:r>
            <w:r>
              <w:t>рии района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достигается через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муниципальной программы «Противодейс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экстремизму и идеологии терроризма в 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 районе Алтайского края», цель программы: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низация эффективной системы мер антиэкстремис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ской направленности для профилактики угроз распр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странения радикальных идеологий, в том числе иде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логии терроризма и мотивированной конфликтности на территории Смоленского района Алтайского края. Задачи программы:</w:t>
            </w:r>
          </w:p>
          <w:p w:rsidR="00AE1304" w:rsidRDefault="00AE1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межведомственного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органов местного самоуправления, правоохр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нительных органов в сфере противодействия экстр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мизму и идеологии терроризма, профилактики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фликтности этнической, национальной и религиозной направленностей.</w:t>
            </w:r>
          </w:p>
          <w:p w:rsidR="00AE1304" w:rsidRDefault="00AE1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распространения экстремизма и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кальных идеологий, в том числе идеологии террори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в этноконфессиональной среде района.</w:t>
            </w:r>
          </w:p>
          <w:p w:rsidR="00AE1304" w:rsidRDefault="00AE1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распространения экстремизма и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кальных идеологий, в том числе идеологии террори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в миграционной среде региона.</w:t>
            </w:r>
          </w:p>
          <w:p w:rsidR="00AE1304" w:rsidRDefault="00AE1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информационной политики антиэкстр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мистской направленности.</w:t>
            </w:r>
          </w:p>
          <w:p w:rsidR="00AE1304" w:rsidRDefault="00AE1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в молодежной среде неприятия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числе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терроризма.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Ежегодные отчеты о реализации программы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на официальном сайте Администрации района.</w:t>
            </w:r>
          </w:p>
        </w:tc>
      </w:tr>
      <w:tr w:rsidR="00AE1304" w:rsidTr="00AE1304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tabs>
                <w:tab w:val="left" w:pos="284"/>
                <w:tab w:val="left" w:pos="1134"/>
              </w:tabs>
              <w:jc w:val="center"/>
            </w:pPr>
            <w:r>
              <w:t>ПРИОРИТЕТ 2 - РЕАЛИЗАЦИЯ ЭКОНОМИЧЕСКОГО ПОТЕНЦИАЛА И УЛУЧШЕНИЕ ИНВЕСТИЦИОННОГО КЛИМАТА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t>Развитие сельского хозяйства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t>Увеличение объема производства проду</w:t>
            </w:r>
            <w:r>
              <w:t>к</w:t>
            </w:r>
            <w:r>
              <w:t>ции растениеводства на основе повышения урожайности осно</w:t>
            </w:r>
            <w:r>
              <w:t>в</w:t>
            </w:r>
            <w:r>
              <w:t>ных видов сельскох</w:t>
            </w:r>
            <w:r>
              <w:t>о</w:t>
            </w:r>
            <w:r>
              <w:t>зяйственных культур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объемов производства валовой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 сельского хозяйства в хозяйства всех катег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риях за период с 2019 по 2022 годы составил более 186% и составил в 2022 году – 152553 тонны. В 2023 году в связи с погодными условиями объем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снизился до 113254 тонн.</w:t>
            </w:r>
          </w:p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урожайности зерновых и зернобобовых в 2023году район занимал 2-ое место в рейтинге по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тайскому краю, по производству семян подсолнечника - 6-ое место в рейтинге по краю.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t>Увеличение объема продукции животн</w:t>
            </w:r>
            <w:r>
              <w:t>о</w:t>
            </w:r>
            <w:r>
              <w:t>водства на основе п</w:t>
            </w:r>
            <w:r>
              <w:t>о</w:t>
            </w:r>
            <w:r>
              <w:lastRenderedPageBreak/>
              <w:t>вышения продукти</w:t>
            </w:r>
            <w:r>
              <w:t>в</w:t>
            </w:r>
            <w:r>
              <w:t>ности животных и увеличения их пог</w:t>
            </w:r>
            <w:r>
              <w:t>о</w:t>
            </w:r>
            <w:r>
              <w:t>ловья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Продуктивность дойного стада в сельхозпре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 xml:space="preserve">приятиях составила 10097 кг на одну корову, что на 2424 кг больше чем за 2022 год и на 3872 кг больше чем в 2019 году. Это 1-ое место в рейтинге районов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Алтайского края. </w:t>
            </w:r>
          </w:p>
          <w:p w:rsidR="00AE1304" w:rsidRDefault="00AE13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Наивысшая молочная продуктивность коров  в ООО «Агро-Сибирь» - 9980 кг (в 2022 году - 8816 кг), рост к уровню прошлого года составил – 1164 кг. Хозяйство целенаправленно работает над повышением проду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тивности коров.</w:t>
            </w:r>
          </w:p>
          <w:p w:rsidR="00AE1304" w:rsidRDefault="00AE1304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Животноводством в районе занимаются 4 сельхо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предприятия, 6 КФХ и ИП, личные подсобные хозя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>
              <w:rPr>
                <w:color w:val="000000" w:themeColor="text1"/>
                <w:sz w:val="24"/>
                <w:szCs w:val="24"/>
              </w:rPr>
              <w:t>ства, в  которых по состоянию на 01.01.2024 года  с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держится - 7059 голов крупного рогатого скота, в том числе 3424 коровы.  Поголовье снижается. За 2023 год снижение поголовья крупного рогатого скота состав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ло – 1 207 головы, в т.ч. поголовья коров на 561 гол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ву. За 5 лет снижение поголовья крупного рогатого скота составило – 3314 головы (в 2019 г. –было 10373 головы), в т.ч. поголовья коров на 747 голов (в 2019 – было 4181).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t>Улучшение матер</w:t>
            </w:r>
            <w:r>
              <w:t>и</w:t>
            </w:r>
            <w:r>
              <w:t>ально-технической б</w:t>
            </w:r>
            <w:r>
              <w:t>а</w:t>
            </w:r>
            <w:r>
              <w:t>зы сельскохозяйс</w:t>
            </w:r>
            <w:r>
              <w:t>т</w:t>
            </w:r>
            <w:r>
              <w:t>венных предприятий, обновление техники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 Смоленского района активно обновили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териально-техническую базу. Сельхоз предприятия района всех форм собственности за период  с 2020 по 2023 год приобрели 190 единицы сельскохозяйстве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 техники на общую сумму 2 507,4 млн. руб.; 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«Агро-Сибирь» :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 построили два современных коровника  безпривезного содержания на 1200 голов;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построили родильное отделение на 293 головы и сан.пропускник.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t>Развитие промышленности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объема прои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</w:rPr>
              <w:t>водства промышленной продукции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объемов отгруженных товаров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ственного производства в 2023 году к уровню 2019 года составил 133,4%. За 2019 год объем отгруженных товаров собственного производства составлял – 1 407,6 млн. руб., за 2023 год - 1 877,9 млн. рублей. </w:t>
            </w:r>
          </w:p>
          <w:p w:rsidR="00AE1304" w:rsidRDefault="00AE130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номенклатура выпускаемой промы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ленной продукции в районе: вода минеральная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родная питьевая, пиломатериалы, мясо, включая су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продукты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категории, кондитерские изделия, хлеб и хлебобулочные изделия, мука, крупа, комбикорма, молоко, масло сливочное, сыры, творог, макаронные изделия, корма для сельскохозяйственных животных.</w:t>
            </w:r>
          </w:p>
          <w:p w:rsidR="00AE1304" w:rsidRDefault="00AE1304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производителями промышленной продукции в нашем районе являются предприятия крупного и среднего бизнеса:  АО «Алтайская крупа» в Смоленском районе (Усть-Кануское ХПП), «Белок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рихинские МЭС» АО «Сетевая компания Алтайкра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энерго»,  филиал ПАО «Россети Сибирь»- Алтайэне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го,   ООО «Втормет», ЗАО «Белокурихинское».</w:t>
            </w:r>
          </w:p>
          <w:p w:rsidR="00AE1304" w:rsidRDefault="00AE130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Производители промышленной продукции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лого бизнеса:  ООО «Леспром Плюс» -  переработка древесины; ООО «Союзпром», ООО «Хлебозавод Смоленский», ООО «Виола», производят хлеб, хлеб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булочные и кондитерские изделия, ИП Раенко А.В. – производство различных сортов сыра из коровьего и козьего молока; ООО «Паритет +» производство мяса и субпродуктов, ООО «Бикоп +» производство печа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продукции и бланков, СХ «Алтайские луга» -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ведение индюков мясных пород с последующей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работкой и реализацией мясных продуктов,  а так же молочная продукция, СПСК «Смоленский» -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водство молока.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малого предпр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нимательства и расширение сфер его деятельности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rPr>
                <w:rFonts w:ascii="PT Serif" w:eastAsia="PT Serif" w:hAnsi="PT Serif" w:cs="PT Serif"/>
                <w:sz w:val="26"/>
              </w:rPr>
            </w:pPr>
            <w:r>
              <w:rPr>
                <w:sz w:val="24"/>
                <w:szCs w:val="24"/>
              </w:rPr>
              <w:t>По данным на 10.01.2024 в Едином реестре субъектов малого и среднего предпринимательства (далее –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естр) содержались сведения о  489 субъектах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принимательства, осуществляющих деятельность на территории Смоленского района, в том числе: 416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дивидуальных предпринимателях, 73 – малых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приятиях. </w:t>
            </w:r>
            <w:r>
              <w:rPr>
                <w:rFonts w:eastAsia="PT Serif"/>
                <w:sz w:val="24"/>
                <w:szCs w:val="24"/>
              </w:rPr>
              <w:t>Наибольшее количество субъектов МСП района осуществляют деятельность в сферах торговли (180 ед.), транспорта (62 ед.), сельском хозяйстве (62 ед.), строительство (44 ед.).</w:t>
            </w:r>
          </w:p>
          <w:p w:rsidR="00AE1304" w:rsidRDefault="00AE1304">
            <w:pPr>
              <w:shd w:val="clear" w:color="auto" w:fill="FFFFFF"/>
              <w:ind w:firstLine="709"/>
              <w:jc w:val="both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субъектов малого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меняется ежегодно, динамика не стабильная.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11"/>
              <w:gridCol w:w="1411"/>
              <w:gridCol w:w="1412"/>
              <w:gridCol w:w="1412"/>
            </w:tblGrid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 СМП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ИП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ЮЛ</w:t>
                  </w:r>
                </w:p>
              </w:tc>
            </w:tr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01.01.2020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01.01.2021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488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01.01.2022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</w:t>
                  </w:r>
                </w:p>
              </w:tc>
            </w:tr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01.01.2023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423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</w:t>
                  </w:r>
                </w:p>
              </w:tc>
            </w:tr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01.01.2024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489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</w:t>
                  </w:r>
                </w:p>
              </w:tc>
            </w:tr>
          </w:tbl>
          <w:p w:rsidR="00AE1304" w:rsidRDefault="00AE1304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  <w:p w:rsidR="00AE1304" w:rsidRDefault="00AE1304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Администрации района действует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пальная программа «Поддержка и развитие малого и среднего предпринимательства в Смоленском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оне». В районе функционирует общественный совет по развитию предпринимательства при главе района.</w:t>
            </w:r>
          </w:p>
          <w:p w:rsidR="00AE1304" w:rsidRDefault="00AE1304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поддержка субъектов малого и среднего бизнеса осуществляется через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пальный информационно-консультационный центр.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t>Развитие туристско-рекреационного комплекса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Продвижение туристическ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го продукта Смоленского района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район располагает огромным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тенциалом для развития туристской отрасли: экску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сионного туризма (в т.ч. место слияния рек Бия 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тунь), экологического туризма (в т.ч. природный парк «Предгорье Алтая»), гастрономического и сельского туризма (в т.ч. сыроварня «Усадьба Три А» и гостевой дом «Кержацкие палати»), спортивного туризма (в т.ч. кемпинг парапланеристов «Бобровая заимка», река Песчаная). 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период с 2019 по  2023 годы на территории района в сфере туризма услуги оказывают стабильно  14 субъектов</w:t>
            </w:r>
            <w:r>
              <w:rPr>
                <w:sz w:val="24"/>
                <w:szCs w:val="24"/>
              </w:rPr>
              <w:t xml:space="preserve">, количество действующих туристических объектов – 16, в т.ч.: </w:t>
            </w:r>
            <w:r>
              <w:rPr>
                <w:color w:val="000000"/>
                <w:sz w:val="24"/>
                <w:szCs w:val="24"/>
              </w:rPr>
              <w:t xml:space="preserve">3 сельских гостевых дома </w:t>
            </w:r>
            <w:r>
              <w:rPr>
                <w:color w:val="000000"/>
                <w:sz w:val="24"/>
                <w:szCs w:val="24"/>
              </w:rPr>
              <w:lastRenderedPageBreak/>
              <w:t>(Усадьба «3А», кемпинг «Бобровая заимка», Гостевой дом «Киржацкие палати»); 2 гостиницы (гостиничный комплекс «Золото Алтая», парк-отель «Алтай-</w:t>
            </w:r>
            <w:r>
              <w:rPr>
                <w:color w:val="000000"/>
                <w:sz w:val="24"/>
                <w:szCs w:val="24"/>
                <w:lang w:val="en-US"/>
              </w:rPr>
              <w:t>green</w:t>
            </w:r>
            <w:r>
              <w:rPr>
                <w:color w:val="000000"/>
                <w:sz w:val="24"/>
                <w:szCs w:val="24"/>
              </w:rPr>
              <w:t>»), 2 базы отдыха («Серебряное копытце», «Калина кра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ная»), 3 турбазы (индивидуальные средства размещ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ния): КТЦ «Любоград», усадьба «Клевое место», база «Юртовая усадьба», 4 музея, </w:t>
            </w:r>
            <w:r>
              <w:rPr>
                <w:sz w:val="24"/>
                <w:szCs w:val="24"/>
              </w:rPr>
              <w:t>1 предприятие по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низации платной рыбалки. 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Администрации района действует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пальная программа «Развитие туризма в Смоленском районе».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делегация Смоленского района 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диционно участвует в празднике «Цветение маральн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ка», посвященному открытию летнего туристического сезона  в Алтайском крае. Смоленский район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ставляют: мемориальный музей  М.С. Евдокимова, сельские гостевые дома  «Кержацкие палати» и «Усадьба Три А». В июле ежегодно на территории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ристической базы «Любоград» проходит песенный фестиваль «Поющая Песчаная».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августе в поселке Верх-Обский проходит Всероссийский фестиваль народного творчества и спорта имени М.С. Евдокимова «Земляки».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инвестиц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онных проектов в турист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ческой отрасли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Осуществление инвестиционных проектов в турист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отрасли предполагало в первую очередь дал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нейшее развитие ТРК «Сибирское подворье» в с.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вотырышкино, но руководство АО «Курорт Белокур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ха» принято решение о перепрофилировании турис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объекта в сельскохозяйственный.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Поэтому новых </w:t>
            </w:r>
            <w:r>
              <w:t>инвестиционных проектов в т</w:t>
            </w:r>
            <w:r>
              <w:t>у</w:t>
            </w:r>
            <w:r>
              <w:t>ристической отрасли за период с 2019 по 2023 годы не было.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Увеличение туристического потока 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туристов в 2020 году резко снизилось в связи с короновирусной инфекцией, с 2023 года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блюдается положительная динамика туристического потока.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1"/>
              <w:gridCol w:w="816"/>
              <w:gridCol w:w="716"/>
              <w:gridCol w:w="716"/>
              <w:gridCol w:w="716"/>
              <w:gridCol w:w="716"/>
            </w:tblGrid>
            <w:tr w:rsidR="00AE1304">
              <w:trPr>
                <w:trHeight w:val="375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2019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2023</w:t>
                  </w:r>
                </w:p>
              </w:tc>
            </w:tr>
            <w:tr w:rsidR="00AE1304">
              <w:trPr>
                <w:trHeight w:val="488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Общее количество туристов, посети</w:t>
                  </w:r>
                  <w:r>
                    <w:rPr>
                      <w:sz w:val="20"/>
                    </w:rPr>
                    <w:t>в</w:t>
                  </w:r>
                  <w:r>
                    <w:rPr>
                      <w:sz w:val="20"/>
                    </w:rPr>
                    <w:t xml:space="preserve">ших район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134900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39400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17700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19000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31800</w:t>
                  </w:r>
                </w:p>
              </w:tc>
            </w:tr>
            <w:tr w:rsidR="00AE1304">
              <w:trPr>
                <w:trHeight w:val="694"/>
              </w:trPr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Численность лиц, размещенных  (н</w:t>
                  </w: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</w:rPr>
                    <w:t xml:space="preserve">чиная с 2020 года)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- 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4 820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5 616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4 370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4 850</w:t>
                  </w:r>
                </w:p>
              </w:tc>
            </w:tr>
          </w:tbl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rPr>
          <w:trHeight w:val="3959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lastRenderedPageBreak/>
              <w:t>Улучшение инвестиционного климата</w:t>
            </w:r>
          </w:p>
        </w:tc>
        <w:tc>
          <w:tcPr>
            <w:tcW w:w="2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инвестиц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онной привлекательности территории; формиров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механизмов привл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инвестиций и 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мулирования инвестиц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онной деятельности на территории района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2127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Администрации района создан инвестицио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совет при главе района, определен его состав, а также назначен инвестиционный уполномоченный, разработан Инвестиционный паспорт Смоленского района» и размещен на официальном сайте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района, ежегодно проводится его актуализ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ция, осуществляется постоянный мониторинг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различных инвестиционных проектов.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ными сферами инвестиционной деятельности в период с 2019 по 2023 годы остаются - сельское хозяйство, энергетика, торговля. На регулярной основе ведутся реестры планируемых и реализуемых инвестиционных проектах. В течение года они актуализируются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мещаются на официальном сайте Администрации района.</w:t>
            </w:r>
          </w:p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Смоленского района выявляю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 земельные площади и помещения, которые могут использоваться для привлечения инвестиций и, как следствие, для развития экономики, создания новых рабочих мест и повышение качества жизни населения. Предложение по инвестиционным площадкам так же размещаются</w:t>
            </w:r>
            <w:r>
              <w:t xml:space="preserve"> </w:t>
            </w:r>
            <w:r>
              <w:rPr>
                <w:sz w:val="24"/>
                <w:szCs w:val="24"/>
              </w:rPr>
              <w:t>на официальном сайте Администрации района.</w:t>
            </w:r>
          </w:p>
          <w:p w:rsidR="00AE1304" w:rsidRDefault="00AE1304">
            <w:pPr>
              <w:ind w:firstLine="709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Объем инвестиций в основной капитал по крупным и средним организациям района за 2023 год составил 1 077,9 млн. рублей, или 109,3 % к уровню 2022 года. В сравнении с 2019 годом объем инвест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ций увеличился в 2,2 раза.</w:t>
            </w:r>
          </w:p>
          <w:tbl>
            <w:tblPr>
              <w:tblW w:w="5000" w:type="pct"/>
              <w:tblLook w:val="04A0"/>
            </w:tblPr>
            <w:tblGrid>
              <w:gridCol w:w="1564"/>
              <w:gridCol w:w="850"/>
              <w:gridCol w:w="946"/>
              <w:gridCol w:w="676"/>
              <w:gridCol w:w="810"/>
              <w:gridCol w:w="805"/>
            </w:tblGrid>
            <w:tr w:rsidR="00AE1304">
              <w:trPr>
                <w:trHeight w:val="315"/>
              </w:trPr>
              <w:tc>
                <w:tcPr>
                  <w:tcW w:w="13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2019</w:t>
                  </w: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2021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2022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2023</w:t>
                  </w:r>
                </w:p>
              </w:tc>
            </w:tr>
            <w:tr w:rsidR="00AE1304">
              <w:trPr>
                <w:trHeight w:val="1470"/>
              </w:trPr>
              <w:tc>
                <w:tcPr>
                  <w:tcW w:w="13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инв</w:t>
                  </w:r>
                  <w:r>
                    <w:rPr>
                      <w:sz w:val="20"/>
                    </w:rPr>
                    <w:t>е</w:t>
                  </w:r>
                  <w:r>
                    <w:rPr>
                      <w:sz w:val="20"/>
                    </w:rPr>
                    <w:t>стиций в о</w:t>
                  </w:r>
                  <w:r>
                    <w:rPr>
                      <w:sz w:val="20"/>
                    </w:rPr>
                    <w:t>с</w:t>
                  </w:r>
                  <w:r>
                    <w:rPr>
                      <w:sz w:val="20"/>
                    </w:rPr>
                    <w:t>новной капитал по крупным и средним орг</w:t>
                  </w: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</w:rPr>
                    <w:t xml:space="preserve">низациям (млн. руб.)  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494,1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881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682,7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1080,9</w:t>
                  </w:r>
                </w:p>
              </w:tc>
              <w:tc>
                <w:tcPr>
                  <w:tcW w:w="7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1077,9</w:t>
                  </w:r>
                </w:p>
              </w:tc>
            </w:tr>
          </w:tbl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на душу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составил 52 700  рублей, это 16 место среди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районов края.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2020 по 2023 год сельскохозяйственные и производственные предприятия района реализовали 28 внебюджетных инвестиционных проектов на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щую сумму 1082,2 млн. руб. </w:t>
            </w:r>
          </w:p>
        </w:tc>
      </w:tr>
      <w:tr w:rsidR="00AE1304" w:rsidTr="00AE1304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jc w:val="center"/>
            </w:pPr>
            <w:r>
              <w:t>ПРИОРИТЕТ 3 - ПОВЫШЕНИЕ ЭФФЕКТИВНОСТИ МУНИЦИПАЛЬНОГО УПРАВЛЕНИЯ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13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t>Развитие гражда</w:t>
            </w:r>
            <w:r>
              <w:t>н</w:t>
            </w:r>
            <w:r>
              <w:t>ских ин</w:t>
            </w:r>
            <w:r>
              <w:t>и</w:t>
            </w:r>
            <w:r>
              <w:t>циатив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Поддержка гражданских инициатив, содействие развитию гражданского общества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5 лет (с 2019 по 2023 год) в проекте поддержки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стных инициатив (ППМИ) Министерства финансов 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Алтайского края  на территории Смоленского района было реализовано 49 проектов на общую сумму 49032,00 тыс. рублей. Строились детские игровые и спортивные площадки, проводилось освещение,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монт дорог, благоустройство кладбищ, ремонт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домов культуры, ремонт водопроводов.</w:t>
            </w:r>
          </w:p>
          <w:tbl>
            <w:tblPr>
              <w:tblW w:w="5000" w:type="pct"/>
              <w:tblLook w:val="04A0"/>
            </w:tblPr>
            <w:tblGrid>
              <w:gridCol w:w="1676"/>
              <w:gridCol w:w="2238"/>
              <w:gridCol w:w="1737"/>
            </w:tblGrid>
            <w:tr w:rsidR="00AE1304">
              <w:trPr>
                <w:trHeight w:val="300"/>
              </w:trPr>
              <w:tc>
                <w:tcPr>
                  <w:tcW w:w="1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9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15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Сумма (тыс. руб.)</w:t>
                  </w:r>
                </w:p>
              </w:tc>
            </w:tr>
            <w:tr w:rsidR="00AE1304">
              <w:trPr>
                <w:trHeight w:val="300"/>
              </w:trPr>
              <w:tc>
                <w:tcPr>
                  <w:tcW w:w="15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4003</w:t>
                  </w:r>
                </w:p>
              </w:tc>
            </w:tr>
            <w:tr w:rsidR="00AE1304">
              <w:trPr>
                <w:trHeight w:val="300"/>
              </w:trPr>
              <w:tc>
                <w:tcPr>
                  <w:tcW w:w="15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9236</w:t>
                  </w:r>
                </w:p>
              </w:tc>
            </w:tr>
            <w:tr w:rsidR="00AE1304">
              <w:trPr>
                <w:trHeight w:val="300"/>
              </w:trPr>
              <w:tc>
                <w:tcPr>
                  <w:tcW w:w="15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13652</w:t>
                  </w:r>
                </w:p>
              </w:tc>
            </w:tr>
            <w:tr w:rsidR="00AE1304">
              <w:trPr>
                <w:trHeight w:val="300"/>
              </w:trPr>
              <w:tc>
                <w:tcPr>
                  <w:tcW w:w="15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12971</w:t>
                  </w:r>
                </w:p>
              </w:tc>
            </w:tr>
            <w:tr w:rsidR="00AE1304">
              <w:trPr>
                <w:trHeight w:val="300"/>
              </w:trPr>
              <w:tc>
                <w:tcPr>
                  <w:tcW w:w="15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9170</w:t>
                  </w:r>
                </w:p>
              </w:tc>
            </w:tr>
            <w:tr w:rsidR="00AE1304">
              <w:trPr>
                <w:trHeight w:val="300"/>
              </w:trPr>
              <w:tc>
                <w:tcPr>
                  <w:tcW w:w="15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1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1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49032</w:t>
                  </w:r>
                </w:p>
              </w:tc>
            </w:tr>
          </w:tbl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 нацпроекту Формирование комфортной городской среды: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 год - реализовано два проекта в с. Новотыры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кино и с. Сычевске. Обустроен стадион и зона отдыха на сумму 6380,0 тыс. рублей;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выполнено благоустройство площади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болева с. Смоленское на 4 650,5 тыс. руб.;</w:t>
            </w:r>
          </w:p>
          <w:p w:rsidR="00AE1304" w:rsidRDefault="00AE130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выполнено обустройство стадиона «Поб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да» с. Смоленское на 6 165,9 тыс. руб., </w:t>
            </w:r>
          </w:p>
          <w:p w:rsidR="00AE1304" w:rsidRDefault="00AE1304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выполнено обустройство общественной территории (стадиона) с. Сычевка на сумму 3 562,0 тыс. руб.</w:t>
            </w:r>
          </w:p>
          <w:p w:rsidR="00AE1304" w:rsidRDefault="00AE1304">
            <w:pPr>
              <w:rPr>
                <w:rFonts w:eastAsiaTheme="minorEastAsia"/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 нацпроекту «Жилье и городская среда</w:t>
            </w:r>
            <w:r>
              <w:rPr>
                <w:sz w:val="24"/>
                <w:szCs w:val="24"/>
              </w:rPr>
              <w:t>»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Смоленским сельсоветом проведено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устройство парка «Фонтан», сумма проекта 4042,5 тыс. рублей;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u w:val="single"/>
              </w:rPr>
              <w:t>в рамках программы «Комплексное развитие сел</w:t>
            </w:r>
            <w:r>
              <w:rPr>
                <w:sz w:val="24"/>
                <w:szCs w:val="24"/>
                <w:u w:val="single"/>
              </w:rPr>
              <w:t>ь</w:t>
            </w:r>
            <w:r>
              <w:rPr>
                <w:sz w:val="24"/>
                <w:szCs w:val="24"/>
                <w:u w:val="single"/>
              </w:rPr>
              <w:t>ских территорий»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год:  выполнено обустройство парка  спорта и отдыха «Молодежный» (с. Смоленское), сумма 1933,5 тыс. рублей;</w:t>
            </w:r>
          </w:p>
          <w:p w:rsidR="00AE1304" w:rsidRDefault="00AE1304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-благоустройство площади Ленина, с. Смоленское - 1 398,0 тыс. руб.;</w:t>
            </w:r>
          </w:p>
          <w:p w:rsidR="00AE1304" w:rsidRDefault="00AE1304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обустройство сквера героям гражданской войны, с. Смоленское -1 421,8 тыс. руб.;</w:t>
            </w:r>
          </w:p>
          <w:p w:rsidR="00AE1304" w:rsidRDefault="00AE1304">
            <w:pPr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-благоустройство площади  с. Точильное – 2149,9 тыс. руб.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системы независимой оценки к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чества предоставляемых услуг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Система сформирована, независимая оценка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 оказания услуг муниципальными организациями в сферах культуры, образования и иными организаци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расположенными на территориях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муниципальных образований и оказывающими услуги в указанных сферах за счет бюджетных асси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нований бюджетов муниципальных образований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ществляется централизовано, показатель рассчитыв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ется в баллах и включен в 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главы  района </w:t>
            </w:r>
            <w:r>
              <w:rPr>
                <w:bCs/>
                <w:sz w:val="24"/>
                <w:szCs w:val="24"/>
              </w:rPr>
              <w:t>о достигнутых значениях 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зателей для оценки эффективности деятельности 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ганов местного самоуправления городских округов и муниципальных районов за</w:t>
            </w:r>
            <w:bookmarkStart w:id="1" w:name="year_bm"/>
            <w:bookmarkEnd w:id="1"/>
            <w:r>
              <w:rPr>
                <w:bCs/>
                <w:sz w:val="24"/>
                <w:szCs w:val="24"/>
              </w:rPr>
              <w:t xml:space="preserve"> отчетный год и их план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lastRenderedPageBreak/>
              <w:t>руемых значениях на 3-летний период.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94"/>
              <w:gridCol w:w="1315"/>
              <w:gridCol w:w="1326"/>
              <w:gridCol w:w="1316"/>
            </w:tblGrid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rPr>
                      <w:sz w:val="22"/>
                      <w:szCs w:val="22"/>
                    </w:rPr>
                  </w:pPr>
                  <w:r>
                    <w:t>сфера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rPr>
                      <w:sz w:val="22"/>
                      <w:szCs w:val="22"/>
                    </w:rPr>
                  </w:pPr>
                  <w:r>
                    <w:t>2021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rPr>
                      <w:sz w:val="22"/>
                      <w:szCs w:val="22"/>
                    </w:rPr>
                  </w:pPr>
                  <w:r>
                    <w:t>2022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rPr>
                      <w:sz w:val="22"/>
                      <w:szCs w:val="22"/>
                    </w:rPr>
                  </w:pPr>
                  <w:r>
                    <w:t>2023</w:t>
                  </w:r>
                </w:p>
              </w:tc>
            </w:tr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rPr>
                      <w:sz w:val="22"/>
                      <w:szCs w:val="22"/>
                    </w:rPr>
                  </w:pPr>
                  <w:r>
                    <w:t>культура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>75,7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>75,7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>81,2</w:t>
                  </w:r>
                </w:p>
              </w:tc>
            </w:tr>
            <w:tr w:rsidR="00AE1304"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rPr>
                      <w:sz w:val="22"/>
                      <w:szCs w:val="22"/>
                    </w:rPr>
                  </w:pPr>
                  <w:r>
                    <w:t>образование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>92,66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304" w:rsidRDefault="00AE130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lang w:val="en-US"/>
                    </w:rPr>
                    <w:t>92,9</w:t>
                  </w:r>
                </w:p>
              </w:tc>
            </w:tr>
          </w:tbl>
          <w:p w:rsidR="00AE1304" w:rsidRDefault="00AE1304">
            <w:pPr>
              <w:rPr>
                <w:rFonts w:eastAsiaTheme="minorEastAsia" w:cstheme="minorBidi"/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эффективн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сти взаимодействия м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жду органами местного самоуправления, орган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ми государственной вл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сти и населением мун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ципального образования 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Ежегодно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Департамент Администрации Губерн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тора и Правительства Алтайского края по вопросам внутренней политики </w:t>
            </w:r>
            <w:r>
              <w:rPr>
                <w:sz w:val="24"/>
                <w:szCs w:val="24"/>
              </w:rPr>
              <w:t xml:space="preserve"> Администрация района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тавляет доклад главы  района </w:t>
            </w:r>
            <w:r>
              <w:rPr>
                <w:bCs/>
                <w:sz w:val="24"/>
                <w:szCs w:val="24"/>
              </w:rPr>
              <w:t>о достигнутых значен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ях показателей для оценки эффективности деятельн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сти органов местного самоуправления городских о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ругов и муниципальных районов за отчетный год и их планируемых значениях на 3-летний период. Всего 40 показателей, они разбиты на разделы:</w:t>
            </w:r>
          </w:p>
          <w:p w:rsidR="00AE1304" w:rsidRDefault="00AE13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экономическое развитие;</w:t>
            </w:r>
          </w:p>
          <w:p w:rsidR="00AE1304" w:rsidRDefault="00AE13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дошкольное образование;</w:t>
            </w:r>
          </w:p>
          <w:p w:rsidR="00AE1304" w:rsidRDefault="00AE13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общее и дополнительное образование;</w:t>
            </w:r>
          </w:p>
          <w:p w:rsidR="00AE1304" w:rsidRDefault="00AE13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культура;</w:t>
            </w:r>
          </w:p>
          <w:p w:rsidR="00AE1304" w:rsidRDefault="00AE13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физическая культура и спорт;</w:t>
            </w:r>
          </w:p>
          <w:p w:rsidR="00AE1304" w:rsidRDefault="00AE1304">
            <w:pPr>
              <w:contextualSpacing/>
              <w:jc w:val="both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ж</w:t>
            </w:r>
            <w:r>
              <w:rPr>
                <w:sz w:val="24"/>
                <w:szCs w:val="24"/>
              </w:rPr>
              <w:t>илищное строительство и обеспечение граждан жильем;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жилищно-коммунальное хозяйство;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муниципального управления;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энергосбережение и повышение энергетической 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фективности;</w:t>
            </w:r>
          </w:p>
          <w:p w:rsidR="00AE1304" w:rsidRDefault="00AE13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размещен на официальном сайте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района  в блоке Управление экономики.  </w:t>
            </w:r>
          </w:p>
          <w:p w:rsidR="00AE1304" w:rsidRDefault="00AE1304">
            <w:pPr>
              <w:contextualSpacing/>
              <w:jc w:val="both"/>
              <w:rPr>
                <w:rFonts w:asciiTheme="minorHAnsi" w:hAnsiTheme="minorHAnsi" w:cstheme="minorBidi"/>
                <w:szCs w:val="28"/>
              </w:rPr>
            </w:pPr>
            <w:r>
              <w:rPr>
                <w:sz w:val="24"/>
                <w:szCs w:val="24"/>
              </w:rPr>
              <w:t>За последние 5 лет можно отметить стабильный ка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ровый состав муниципальных служащих. Служащие регулярно повышают квалификацию, налажено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ведомственное взаимодействие с федеральными и краевыми структурами, что позволяет оперативно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шать вопросы.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13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t>Повышение эффективности и</w:t>
            </w:r>
            <w:r>
              <w:t>с</w:t>
            </w:r>
            <w:r>
              <w:t>пользования ресурсов территории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эффективной налогово-бюджетной политики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политика района проводится  в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вии с  Программой  мероприятий  по росту доходного потенциала и оптимизации расходов бюджета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ленского района на 2020-2024 годы, утвержденной Распоряжением  Администрации  Смоленского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  от 18.05.2020 г. № 130-р., и Соглашением о мерах по социально-экономическому развитию и оздоровл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муниципальных финансов Смоленского района, заключенному Администрацией района с Министе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ством финансов Алтайского края.</w:t>
            </w:r>
          </w:p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Проводимые  мероприятия в районе дали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ложительный результат: </w:t>
            </w:r>
          </w:p>
          <w:p w:rsidR="00AE1304" w:rsidRDefault="00AE130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не превышен норматив расходов на содержание органов местного самоуправления;</w:t>
            </w:r>
          </w:p>
          <w:p w:rsidR="00AE1304" w:rsidRDefault="00AE130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отсутствует кредиторская задолженность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стоянию на 01.01.2024 года по обязательствам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жетных и казенных учреждений.</w:t>
            </w:r>
          </w:p>
          <w:p w:rsidR="00AE1304" w:rsidRDefault="00AE1304">
            <w:pPr>
              <w:ind w:firstLine="709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объемов  поступления налоговых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ходов в бюджет района за период с 2019 по 2023 год составил  98174 тыс. руб. Основная доля приходится на налог на доходы физических лиц.</w:t>
            </w:r>
          </w:p>
          <w:tbl>
            <w:tblPr>
              <w:tblW w:w="5000" w:type="pct"/>
              <w:tblLook w:val="04A0"/>
            </w:tblPr>
            <w:tblGrid>
              <w:gridCol w:w="1410"/>
              <w:gridCol w:w="844"/>
              <w:gridCol w:w="850"/>
              <w:gridCol w:w="914"/>
              <w:gridCol w:w="817"/>
              <w:gridCol w:w="816"/>
            </w:tblGrid>
            <w:tr w:rsidR="00AE1304">
              <w:trPr>
                <w:trHeight w:val="315"/>
              </w:trPr>
              <w:tc>
                <w:tcPr>
                  <w:tcW w:w="1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E1304" w:rsidRDefault="00AE1304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2023</w:t>
                  </w:r>
                </w:p>
              </w:tc>
            </w:tr>
            <w:tr w:rsidR="00AE1304">
              <w:trPr>
                <w:trHeight w:val="315"/>
              </w:trPr>
              <w:tc>
                <w:tcPr>
                  <w:tcW w:w="1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ind w:firstLineChars="100" w:firstLine="200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Налоговые доходы, из них: 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115 133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140 160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169 551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212435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213307</w:t>
                  </w:r>
                </w:p>
              </w:tc>
            </w:tr>
            <w:tr w:rsidR="00AE1304">
              <w:trPr>
                <w:trHeight w:val="315"/>
              </w:trPr>
              <w:tc>
                <w:tcPr>
                  <w:tcW w:w="1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 налог на доходы ф</w:t>
                  </w:r>
                  <w:r>
                    <w:rPr>
                      <w:color w:val="000000"/>
                      <w:sz w:val="20"/>
                    </w:rPr>
                    <w:t>и</w:t>
                  </w:r>
                  <w:r>
                    <w:rPr>
                      <w:color w:val="000000"/>
                      <w:sz w:val="20"/>
                    </w:rPr>
                    <w:t xml:space="preserve">зических лиц 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79 983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90 469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109 678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126011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136675</w:t>
                  </w:r>
                </w:p>
              </w:tc>
            </w:tr>
            <w:tr w:rsidR="00AE1304">
              <w:trPr>
                <w:trHeight w:val="945"/>
              </w:trPr>
              <w:tc>
                <w:tcPr>
                  <w:tcW w:w="1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 налоги на совокупный доход (УСН, ЕНВД, ед</w:t>
                  </w:r>
                  <w:r>
                    <w:rPr>
                      <w:color w:val="000000"/>
                      <w:sz w:val="20"/>
                    </w:rPr>
                    <w:t>и</w:t>
                  </w:r>
                  <w:r>
                    <w:rPr>
                      <w:color w:val="000000"/>
                      <w:sz w:val="20"/>
                    </w:rPr>
                    <w:t>ный сельхо</w:t>
                  </w:r>
                  <w:r>
                    <w:rPr>
                      <w:color w:val="000000"/>
                      <w:sz w:val="20"/>
                    </w:rPr>
                    <w:t>з</w:t>
                  </w:r>
                  <w:r>
                    <w:rPr>
                      <w:color w:val="000000"/>
                      <w:sz w:val="20"/>
                    </w:rPr>
                    <w:t xml:space="preserve">налог) 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15 346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23 123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28 491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53101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43583</w:t>
                  </w:r>
                </w:p>
              </w:tc>
            </w:tr>
            <w:tr w:rsidR="00AE1304">
              <w:trPr>
                <w:trHeight w:val="315"/>
              </w:trPr>
              <w:tc>
                <w:tcPr>
                  <w:tcW w:w="1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ind w:firstLineChars="100" w:firstLine="200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Налоги на имущество, в том числе: 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14 906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15 322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18 431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17524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16070</w:t>
                  </w:r>
                </w:p>
              </w:tc>
            </w:tr>
            <w:tr w:rsidR="00AE1304">
              <w:trPr>
                <w:trHeight w:val="315"/>
              </w:trPr>
              <w:tc>
                <w:tcPr>
                  <w:tcW w:w="1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- налог на имущество физ. лиц 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2 965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3 102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2686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4431</w:t>
                  </w:r>
                </w:p>
              </w:tc>
            </w:tr>
            <w:tr w:rsidR="00AE1304">
              <w:trPr>
                <w:trHeight w:val="315"/>
              </w:trPr>
              <w:tc>
                <w:tcPr>
                  <w:tcW w:w="1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- земельный налог </w:t>
                  </w:r>
                </w:p>
              </w:tc>
              <w:tc>
                <w:tcPr>
                  <w:tcW w:w="7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11 941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12 220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15 745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14077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E1304" w:rsidRDefault="00AE130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11639</w:t>
                  </w:r>
                </w:p>
              </w:tc>
            </w:tr>
          </w:tbl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Эффективное использ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вания муниципальной собственности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Количество действующих договоров аренды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участков по состоянию на 31.12.2023 года сост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вило 1758 ед., площадь, сданная в аренду – 46,7 тыс. га., это на 182 договора больше чем действовало  в конце 2019 года.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За 2023 год поступило арендной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по действующим договорам  26,2 млн. руб., в 2019 году арендная плата поступила – 18,5 млн. руб., а за 5 лет – 118,5 млн. руб.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01.01.2024 действует 3 договора аренды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имущества (газопровод), от сдачи в аренду муниципального имущества в районный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 в 2023 г. поступило 728,7 тыс. руб. (в 2022- 662,3 тыс. руб.).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 год продано 77 земельных участков площадью 28,2 га на 4,4 млн. руб., за 5 лет продано 197 земельных участков на 11,9 млн. руб.</w:t>
            </w:r>
          </w:p>
          <w:p w:rsidR="00AE1304" w:rsidRDefault="00AE130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выполнения полномочий по выявл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правообладателей и в целях актуализации нал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гооблагаемой базы, на территории Смоленского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выявлено 1834 объекта недвижимости без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стрированных прав. За 2023 год отработаны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все объекты, выявленные как ранее учтенные, т.е. зарегистрированы права, либо сняты с кадастров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учета несуществующие объекты. Работа в рамках выявления правообладателей объектов недвижимости, состоящих на кадастровом учете, но без зарегистрир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прав, продолжается.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pStyle w:val="af2"/>
              <w:tabs>
                <w:tab w:val="left" w:pos="317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Развитие муниципально -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частного партнерства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прошедший период соглашений о муниципально - </w:t>
            </w:r>
            <w:r>
              <w:rPr>
                <w:sz w:val="24"/>
                <w:szCs w:val="24"/>
              </w:rPr>
              <w:lastRenderedPageBreak/>
              <w:t>частном партнерстве не заключалось</w:t>
            </w:r>
          </w:p>
        </w:tc>
      </w:tr>
      <w:tr w:rsidR="00AE1304" w:rsidTr="00AE1304">
        <w:tc>
          <w:tcPr>
            <w:tcW w:w="13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E1304" w:rsidRDefault="00AE1304">
            <w:pPr>
              <w:ind w:left="113" w:right="113"/>
              <w:rPr>
                <w:sz w:val="24"/>
                <w:szCs w:val="24"/>
              </w:rPr>
            </w:pPr>
            <w:r>
              <w:lastRenderedPageBreak/>
              <w:t>Формирование современной информационно-технологической инфраструктуры органов м</w:t>
            </w:r>
            <w:r>
              <w:t>е</w:t>
            </w:r>
            <w:r>
              <w:t>стного самоуправления, обеспечение ее н</w:t>
            </w:r>
            <w:r>
              <w:t>а</w:t>
            </w:r>
            <w:r>
              <w:t>дежного функционирования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t>Развитие единой системы межв</w:t>
            </w:r>
            <w:r>
              <w:t>е</w:t>
            </w:r>
            <w:r>
              <w:t>домственного эле</w:t>
            </w:r>
            <w:r>
              <w:t>к</w:t>
            </w:r>
            <w:r>
              <w:t>тронного взаим</w:t>
            </w:r>
            <w:r>
              <w:t>о</w:t>
            </w:r>
            <w:r>
              <w:t>действия в органах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 органов  местного самоуправления подключены к единой системы межведомственного электронного взаимодействия</w:t>
            </w:r>
          </w:p>
          <w:p w:rsidR="00AE1304" w:rsidRDefault="00AE1304">
            <w:pPr>
              <w:rPr>
                <w:sz w:val="24"/>
                <w:szCs w:val="24"/>
              </w:rPr>
            </w:pPr>
          </w:p>
          <w:p w:rsidR="00AE1304" w:rsidRDefault="00AE1304">
            <w:pPr>
              <w:rPr>
                <w:sz w:val="24"/>
                <w:szCs w:val="24"/>
              </w:rPr>
            </w:pPr>
          </w:p>
        </w:tc>
      </w:tr>
      <w:tr w:rsidR="00AE1304" w:rsidTr="00AE13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304" w:rsidRDefault="00AE1304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rPr>
                <w:sz w:val="22"/>
                <w:szCs w:val="22"/>
              </w:rPr>
            </w:pPr>
            <w:r>
              <w:t>Повышение удо</w:t>
            </w:r>
            <w:r>
              <w:t>в</w:t>
            </w:r>
            <w:r>
              <w:t>летворенности н</w:t>
            </w:r>
            <w:r>
              <w:t>а</w:t>
            </w:r>
            <w:r>
              <w:t>селения деятельн</w:t>
            </w:r>
            <w:r>
              <w:t>о</w:t>
            </w:r>
            <w:r>
              <w:t>стью органов мес</w:t>
            </w:r>
            <w:r>
              <w:t>т</w:t>
            </w:r>
            <w:r>
              <w:t>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304" w:rsidRDefault="00AE1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числе показателей </w:t>
            </w:r>
            <w:r>
              <w:rPr>
                <w:bCs/>
                <w:sz w:val="24"/>
                <w:szCs w:val="24"/>
              </w:rPr>
              <w:t>для оценки эффективности де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тельности органов местного самоуправления горо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ских округов и муниципальных районов есть показ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 «</w:t>
            </w:r>
            <w:r>
              <w:rPr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района)». Плановое значение на 2023 год для администрации района было установлено - 44,5% от опрошенных, показатель выполнен, факт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значение составило – 47%.</w:t>
            </w:r>
          </w:p>
          <w:p w:rsidR="00AE1304" w:rsidRDefault="00AE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официальном сайте Администрации района на главной странице размещена анкета «Опрос населения об удовлетворенности населения деятельностью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нов местного самоуправления.  </w:t>
            </w:r>
          </w:p>
        </w:tc>
      </w:tr>
    </w:tbl>
    <w:p w:rsidR="00AE1304" w:rsidRDefault="00AE1304" w:rsidP="00AE1304">
      <w:pPr>
        <w:pStyle w:val="af1"/>
        <w:tabs>
          <w:tab w:val="left" w:pos="1140"/>
          <w:tab w:val="left" w:pos="93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304" w:rsidRDefault="00AE1304" w:rsidP="00AE13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Стратегии будет способствовать решению основных проблем и задач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вития Смоленского района, повышению уровня и качества жизни населения на основе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печения долгосрочного устойчивого экономического и социального развития района 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временных принципов управления экономикой, улучшить показатели социально-экономического развития, повысить рейтинги среди муниципальных образований Алтайск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края.</w:t>
      </w:r>
    </w:p>
    <w:p w:rsidR="00AE1304" w:rsidRDefault="00AE1304" w:rsidP="00AE1304">
      <w:pPr>
        <w:pStyle w:val="ab"/>
        <w:jc w:val="both"/>
        <w:rPr>
          <w:sz w:val="24"/>
          <w:szCs w:val="24"/>
        </w:rPr>
      </w:pPr>
    </w:p>
    <w:p w:rsidR="00AE1304" w:rsidRDefault="00AE1304" w:rsidP="00264FAB">
      <w:pPr>
        <w:jc w:val="center"/>
        <w:rPr>
          <w:szCs w:val="28"/>
        </w:rPr>
      </w:pPr>
    </w:p>
    <w:sectPr w:rsidR="00AE1304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DC" w:rsidRDefault="005969DC" w:rsidP="00CB49DE">
      <w:r>
        <w:separator/>
      </w:r>
    </w:p>
  </w:endnote>
  <w:endnote w:type="continuationSeparator" w:id="1">
    <w:p w:rsidR="005969DC" w:rsidRDefault="005969D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DC" w:rsidRDefault="005969DC" w:rsidP="00CB49DE">
      <w:r>
        <w:separator/>
      </w:r>
    </w:p>
  </w:footnote>
  <w:footnote w:type="continuationSeparator" w:id="1">
    <w:p w:rsidR="005969DC" w:rsidRDefault="005969D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28089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7DC"/>
    <w:multiLevelType w:val="hybridMultilevel"/>
    <w:tmpl w:val="8EA27442"/>
    <w:lvl w:ilvl="0" w:tplc="2938A63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21570"/>
    <w:multiLevelType w:val="hybridMultilevel"/>
    <w:tmpl w:val="4AC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700B6"/>
    <w:rsid w:val="000863EB"/>
    <w:rsid w:val="0009158A"/>
    <w:rsid w:val="00092DC5"/>
    <w:rsid w:val="00095AAA"/>
    <w:rsid w:val="000A3EBB"/>
    <w:rsid w:val="000B378A"/>
    <w:rsid w:val="000C3CD3"/>
    <w:rsid w:val="000D1755"/>
    <w:rsid w:val="000E0365"/>
    <w:rsid w:val="000E4B95"/>
    <w:rsid w:val="000F4004"/>
    <w:rsid w:val="000F61AC"/>
    <w:rsid w:val="00115E0C"/>
    <w:rsid w:val="0011797B"/>
    <w:rsid w:val="0012265D"/>
    <w:rsid w:val="00133764"/>
    <w:rsid w:val="001417AE"/>
    <w:rsid w:val="00141820"/>
    <w:rsid w:val="00143F5D"/>
    <w:rsid w:val="00144204"/>
    <w:rsid w:val="00160B76"/>
    <w:rsid w:val="001620B8"/>
    <w:rsid w:val="00171671"/>
    <w:rsid w:val="00172EBD"/>
    <w:rsid w:val="00173FFE"/>
    <w:rsid w:val="00195A56"/>
    <w:rsid w:val="001B28F9"/>
    <w:rsid w:val="001B5862"/>
    <w:rsid w:val="001B5CD4"/>
    <w:rsid w:val="001D4848"/>
    <w:rsid w:val="001D4B91"/>
    <w:rsid w:val="001D7B73"/>
    <w:rsid w:val="001E72BA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4FAB"/>
    <w:rsid w:val="00277FED"/>
    <w:rsid w:val="0028089F"/>
    <w:rsid w:val="002D57BC"/>
    <w:rsid w:val="002E0AA2"/>
    <w:rsid w:val="002F038B"/>
    <w:rsid w:val="002F5198"/>
    <w:rsid w:val="0030178A"/>
    <w:rsid w:val="0032643E"/>
    <w:rsid w:val="00332669"/>
    <w:rsid w:val="00350AF1"/>
    <w:rsid w:val="00376668"/>
    <w:rsid w:val="00386B15"/>
    <w:rsid w:val="003A3B0F"/>
    <w:rsid w:val="003B0B75"/>
    <w:rsid w:val="003C209C"/>
    <w:rsid w:val="003D5BDA"/>
    <w:rsid w:val="003E0D44"/>
    <w:rsid w:val="003E29C0"/>
    <w:rsid w:val="003E5A4C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4369"/>
    <w:rsid w:val="004C7BA3"/>
    <w:rsid w:val="004E2B7C"/>
    <w:rsid w:val="004E3B61"/>
    <w:rsid w:val="004E78E6"/>
    <w:rsid w:val="005049E1"/>
    <w:rsid w:val="00507816"/>
    <w:rsid w:val="00516428"/>
    <w:rsid w:val="00524C9E"/>
    <w:rsid w:val="005371E6"/>
    <w:rsid w:val="00537745"/>
    <w:rsid w:val="00542409"/>
    <w:rsid w:val="00555417"/>
    <w:rsid w:val="00557739"/>
    <w:rsid w:val="00567BDC"/>
    <w:rsid w:val="00574239"/>
    <w:rsid w:val="00575331"/>
    <w:rsid w:val="005943EF"/>
    <w:rsid w:val="005969DC"/>
    <w:rsid w:val="0059752A"/>
    <w:rsid w:val="00597541"/>
    <w:rsid w:val="005B3AB5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198A"/>
    <w:rsid w:val="006B29E5"/>
    <w:rsid w:val="006B31D4"/>
    <w:rsid w:val="006C584C"/>
    <w:rsid w:val="006D294A"/>
    <w:rsid w:val="006E49C5"/>
    <w:rsid w:val="006F2C98"/>
    <w:rsid w:val="00704870"/>
    <w:rsid w:val="007207AC"/>
    <w:rsid w:val="00727C3D"/>
    <w:rsid w:val="00731CFC"/>
    <w:rsid w:val="00731E4C"/>
    <w:rsid w:val="00743100"/>
    <w:rsid w:val="00743A30"/>
    <w:rsid w:val="0074704D"/>
    <w:rsid w:val="00765E82"/>
    <w:rsid w:val="00774018"/>
    <w:rsid w:val="00775D90"/>
    <w:rsid w:val="00782229"/>
    <w:rsid w:val="007A1001"/>
    <w:rsid w:val="007A21AF"/>
    <w:rsid w:val="007A6021"/>
    <w:rsid w:val="007A7FC7"/>
    <w:rsid w:val="007B2BBD"/>
    <w:rsid w:val="007C22F3"/>
    <w:rsid w:val="007D4708"/>
    <w:rsid w:val="007E6905"/>
    <w:rsid w:val="007E6EE1"/>
    <w:rsid w:val="007F5C8A"/>
    <w:rsid w:val="00801915"/>
    <w:rsid w:val="00802A08"/>
    <w:rsid w:val="00804D07"/>
    <w:rsid w:val="00804DC6"/>
    <w:rsid w:val="008121B0"/>
    <w:rsid w:val="008173FF"/>
    <w:rsid w:val="008201A6"/>
    <w:rsid w:val="00826B37"/>
    <w:rsid w:val="008275B2"/>
    <w:rsid w:val="00846F52"/>
    <w:rsid w:val="00854720"/>
    <w:rsid w:val="00861331"/>
    <w:rsid w:val="00863C48"/>
    <w:rsid w:val="00873AC7"/>
    <w:rsid w:val="00876889"/>
    <w:rsid w:val="00895DCD"/>
    <w:rsid w:val="008970FE"/>
    <w:rsid w:val="008A6963"/>
    <w:rsid w:val="008B0AC8"/>
    <w:rsid w:val="008B1B3C"/>
    <w:rsid w:val="008E23FE"/>
    <w:rsid w:val="008F4584"/>
    <w:rsid w:val="00917FD6"/>
    <w:rsid w:val="00920AD7"/>
    <w:rsid w:val="00920D75"/>
    <w:rsid w:val="00927423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5E66"/>
    <w:rsid w:val="00AC5707"/>
    <w:rsid w:val="00AD322A"/>
    <w:rsid w:val="00AD3BE8"/>
    <w:rsid w:val="00AD7284"/>
    <w:rsid w:val="00AE0AE8"/>
    <w:rsid w:val="00AE1304"/>
    <w:rsid w:val="00B00B76"/>
    <w:rsid w:val="00B02568"/>
    <w:rsid w:val="00B070C1"/>
    <w:rsid w:val="00B322CE"/>
    <w:rsid w:val="00B35E8F"/>
    <w:rsid w:val="00B41162"/>
    <w:rsid w:val="00B4417F"/>
    <w:rsid w:val="00B66A70"/>
    <w:rsid w:val="00B66DFE"/>
    <w:rsid w:val="00B839AE"/>
    <w:rsid w:val="00B85153"/>
    <w:rsid w:val="00B930CA"/>
    <w:rsid w:val="00BA50E1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5442"/>
    <w:rsid w:val="00C46731"/>
    <w:rsid w:val="00C61C78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6D99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779F4"/>
    <w:rsid w:val="00D84D1C"/>
    <w:rsid w:val="00DA4EAF"/>
    <w:rsid w:val="00DA571B"/>
    <w:rsid w:val="00DB1B5C"/>
    <w:rsid w:val="00DB40BB"/>
    <w:rsid w:val="00DC15D4"/>
    <w:rsid w:val="00DC4A19"/>
    <w:rsid w:val="00DD3051"/>
    <w:rsid w:val="00DE7296"/>
    <w:rsid w:val="00DE7640"/>
    <w:rsid w:val="00DE7736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52CAA"/>
    <w:rsid w:val="00E67DF8"/>
    <w:rsid w:val="00E7259F"/>
    <w:rsid w:val="00E965A1"/>
    <w:rsid w:val="00EA1A7D"/>
    <w:rsid w:val="00ED2E8D"/>
    <w:rsid w:val="00EE5025"/>
    <w:rsid w:val="00EF6D2A"/>
    <w:rsid w:val="00F17A42"/>
    <w:rsid w:val="00F24C89"/>
    <w:rsid w:val="00F31092"/>
    <w:rsid w:val="00F36525"/>
    <w:rsid w:val="00F377A8"/>
    <w:rsid w:val="00F458EB"/>
    <w:rsid w:val="00F52DB4"/>
    <w:rsid w:val="00F535C1"/>
    <w:rsid w:val="00F73AE8"/>
    <w:rsid w:val="00F80F3D"/>
    <w:rsid w:val="00F86588"/>
    <w:rsid w:val="00F91964"/>
    <w:rsid w:val="00F94710"/>
    <w:rsid w:val="00FA44FB"/>
    <w:rsid w:val="00FD1FD7"/>
    <w:rsid w:val="00FD4938"/>
    <w:rsid w:val="00FD49F4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64FAB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264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basedOn w:val="a"/>
    <w:link w:val="af"/>
    <w:uiPriority w:val="1"/>
    <w:qFormat/>
    <w:rsid w:val="00264FAB"/>
    <w:pPr>
      <w:suppressAutoHyphens/>
    </w:pPr>
    <w:rPr>
      <w:sz w:val="24"/>
      <w:szCs w:val="24"/>
      <w:lang w:eastAsia="ar-SA"/>
    </w:rPr>
  </w:style>
  <w:style w:type="character" w:customStyle="1" w:styleId="af">
    <w:name w:val="Без интервала Знак"/>
    <w:basedOn w:val="a0"/>
    <w:link w:val="ae"/>
    <w:uiPriority w:val="1"/>
    <w:locked/>
    <w:rsid w:val="000B37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aliases w:val="Знак1 Знак Знак"/>
    <w:basedOn w:val="a0"/>
    <w:link w:val="af1"/>
    <w:locked/>
    <w:rsid w:val="00AE1304"/>
    <w:rPr>
      <w:rFonts w:ascii="Calibri" w:eastAsia="Times New Roman" w:hAnsi="Calibri" w:cs="Times New Roman"/>
    </w:rPr>
  </w:style>
  <w:style w:type="paragraph" w:styleId="af1">
    <w:name w:val="Body Text"/>
    <w:aliases w:val="Знак1 Знак"/>
    <w:basedOn w:val="a"/>
    <w:link w:val="af0"/>
    <w:unhideWhenUsed/>
    <w:rsid w:val="00AE130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f1"/>
    <w:uiPriority w:val="99"/>
    <w:semiHidden/>
    <w:rsid w:val="00AE1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nhideWhenUsed/>
    <w:rsid w:val="00AE1304"/>
    <w:pPr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E130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AE1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1"/>
    <w:uiPriority w:val="99"/>
    <w:qFormat/>
    <w:rsid w:val="00AE1304"/>
    <w:rPr>
      <w:rFonts w:ascii="Times New Roman" w:eastAsia="Times New Roman" w:hAnsi="Times New Roman" w:cs="Times New Roman" w:hint="default"/>
      <w:color w:val="000000"/>
      <w:spacing w:val="0"/>
      <w:w w:val="10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70</cp:revision>
  <cp:lastPrinted>2024-08-20T02:24:00Z</cp:lastPrinted>
  <dcterms:created xsi:type="dcterms:W3CDTF">2021-12-08T01:50:00Z</dcterms:created>
  <dcterms:modified xsi:type="dcterms:W3CDTF">2024-09-03T03:17:00Z</dcterms:modified>
</cp:coreProperties>
</file>