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1D" w:rsidRDefault="00232A1D" w:rsidP="00232A1D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 района </w:t>
      </w:r>
    </w:p>
    <w:p w:rsidR="00232A1D" w:rsidRPr="00436E21" w:rsidRDefault="00232A1D" w:rsidP="00232A1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15.03.2024 </w:t>
      </w:r>
      <w:r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188</w:t>
      </w:r>
    </w:p>
    <w:p w:rsidR="00232A1D" w:rsidRDefault="00232A1D" w:rsidP="00232A1D">
      <w:pPr>
        <w:ind w:left="5812"/>
        <w:rPr>
          <w:sz w:val="28"/>
          <w:szCs w:val="28"/>
        </w:rPr>
      </w:pPr>
    </w:p>
    <w:p w:rsidR="00232A1D" w:rsidRPr="004B2F32" w:rsidRDefault="00232A1D" w:rsidP="00232A1D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232A1D" w:rsidRPr="004B2F32" w:rsidRDefault="00232A1D" w:rsidP="00232A1D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232A1D" w:rsidRPr="0027121F" w:rsidRDefault="00232A1D" w:rsidP="00232A1D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32A1D" w:rsidRPr="00CC3ED0" w:rsidRDefault="00232A1D" w:rsidP="00232A1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моленское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232A1D" w:rsidRPr="00CC3ED0" w:rsidRDefault="00232A1D" w:rsidP="00232A1D">
      <w:pPr>
        <w:jc w:val="both"/>
        <w:rPr>
          <w:b/>
          <w:sz w:val="28"/>
          <w:szCs w:val="28"/>
        </w:rPr>
      </w:pP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</w:t>
      </w:r>
      <w:proofErr w:type="spellStart"/>
      <w:r w:rsidRPr="00CC3ED0">
        <w:rPr>
          <w:sz w:val="28"/>
          <w:szCs w:val="28"/>
        </w:rPr>
        <w:t>____на</w:t>
      </w:r>
      <w:proofErr w:type="spellEnd"/>
      <w:r w:rsidRPr="00CC3ED0">
        <w:rPr>
          <w:sz w:val="28"/>
          <w:szCs w:val="28"/>
        </w:rPr>
        <w:t xml:space="preserve">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232A1D" w:rsidRPr="00CC3ED0" w:rsidRDefault="00232A1D" w:rsidP="00232A1D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232A1D" w:rsidRPr="00CC3ED0" w:rsidRDefault="00232A1D" w:rsidP="00232A1D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 xml:space="preserve">(далее — «Дом») общей </w:t>
      </w:r>
      <w:proofErr w:type="spellStart"/>
      <w:r w:rsidRPr="00CC3ED0">
        <w:rPr>
          <w:sz w:val="28"/>
          <w:szCs w:val="28"/>
        </w:rPr>
        <w:t>площадью_______</w:t>
      </w:r>
      <w:proofErr w:type="spellEnd"/>
      <w:r w:rsidRPr="00CC3ED0">
        <w:rPr>
          <w:sz w:val="28"/>
          <w:szCs w:val="28"/>
        </w:rPr>
        <w:t>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232A1D" w:rsidRPr="00CC3ED0" w:rsidRDefault="00232A1D" w:rsidP="00232A1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C3ED0">
        <w:rPr>
          <w:sz w:val="28"/>
          <w:szCs w:val="28"/>
        </w:rPr>
        <w:t>Настоящий Договор заключен на основании постановления Админ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 xml:space="preserve">страции района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 _____ № _______ 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 Управляющая организация в течение установленного Договором ср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Pr="00CC3ED0">
        <w:rPr>
          <w:sz w:val="28"/>
          <w:szCs w:val="28"/>
        </w:rPr>
        <w:t xml:space="preserve">на </w:t>
      </w:r>
      <w:proofErr w:type="spellStart"/>
      <w:r w:rsidRPr="00CC3ED0">
        <w:rPr>
          <w:sz w:val="28"/>
          <w:szCs w:val="28"/>
        </w:rPr>
        <w:t>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ленную</w:t>
      </w:r>
      <w:proofErr w:type="spellEnd"/>
      <w:proofErr w:type="gramEnd"/>
      <w:r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ность. 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232A1D" w:rsidRPr="00CC3ED0" w:rsidRDefault="00232A1D" w:rsidP="00232A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232A1D" w:rsidRPr="00CC3ED0" w:rsidRDefault="00232A1D" w:rsidP="00232A1D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смету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подрядными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 на дом,</w:t>
      </w:r>
      <w:r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 (в случае наличия у собственника и передаче Упра</w:t>
      </w:r>
      <w:r w:rsidRPr="00D22D22">
        <w:rPr>
          <w:sz w:val="28"/>
          <w:szCs w:val="28"/>
        </w:rPr>
        <w:t>в</w:t>
      </w:r>
      <w:r w:rsidRPr="00D22D22">
        <w:rPr>
          <w:sz w:val="28"/>
          <w:szCs w:val="28"/>
        </w:rPr>
        <w:t>ляющей организации при подписании Договора),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осмотры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3.1.9. Принимать меры к сохранности жилищного фонда, своевременно устранять утечки, потери и неисправности в системах </w:t>
      </w:r>
      <w:proofErr w:type="spellStart"/>
      <w:r w:rsidRPr="00CC3ED0">
        <w:rPr>
          <w:sz w:val="28"/>
          <w:szCs w:val="28"/>
        </w:rPr>
        <w:t>ресурсоснабжения</w:t>
      </w:r>
      <w:proofErr w:type="spellEnd"/>
      <w:r w:rsidRPr="00CC3ED0">
        <w:rPr>
          <w:sz w:val="28"/>
          <w:szCs w:val="28"/>
        </w:rPr>
        <w:t xml:space="preserve"> и другие аварии и неполадки, в порядке и сроки, установленные стандартами и </w:t>
      </w:r>
      <w:r w:rsidRPr="00CC3ED0">
        <w:rPr>
          <w:sz w:val="28"/>
          <w:szCs w:val="28"/>
        </w:rPr>
        <w:lastRenderedPageBreak/>
        <w:t>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3.1.10. </w:t>
      </w:r>
      <w:r>
        <w:rPr>
          <w:sz w:val="28"/>
          <w:szCs w:val="28"/>
        </w:rPr>
        <w:t>Организовать работу по взысканию задолженности по оплате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за содержание и ремонт общего имущества.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установленные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законодательством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зователями помещений за предоставляемые им услуги по настоящему договору и других условиях пользования помещениями и предоставления услуг, относящихся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законодательством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содержанию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имущества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Pr="00CC658E">
        <w:rPr>
          <w:color w:val="000000"/>
          <w:spacing w:val="4"/>
          <w:sz w:val="28"/>
          <w:szCs w:val="28"/>
        </w:rPr>
        <w:t>платы за оказ</w:t>
      </w:r>
      <w:r w:rsidRPr="00CC658E">
        <w:rPr>
          <w:color w:val="000000"/>
          <w:spacing w:val="4"/>
          <w:sz w:val="28"/>
          <w:szCs w:val="28"/>
        </w:rPr>
        <w:t>ы</w:t>
      </w:r>
      <w:r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Pr="00CC658E">
        <w:rPr>
          <w:color w:val="000000"/>
          <w:spacing w:val="1"/>
          <w:sz w:val="28"/>
          <w:szCs w:val="28"/>
        </w:rPr>
        <w:t>о</w:t>
      </w:r>
      <w:r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Pr="00CC658E">
        <w:rPr>
          <w:color w:val="000000"/>
          <w:spacing w:val="2"/>
          <w:sz w:val="28"/>
          <w:szCs w:val="28"/>
        </w:rPr>
        <w:t>а</w:t>
      </w:r>
      <w:r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неисправностях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разрешения Управляющей организации не устанавливать, не подключать и не использовать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>марная мощность которых превышает 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переоборудования помещений и мест общего пользования Дома без разрешительных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общего имущества жилого дома в размере.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232A1D" w:rsidRPr="006110E7" w:rsidRDefault="00232A1D" w:rsidP="00232A1D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232A1D" w:rsidRPr="006110E7" w:rsidRDefault="00232A1D" w:rsidP="00232A1D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помещения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многоквартирных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232A1D" w:rsidRPr="006110E7" w:rsidRDefault="00232A1D" w:rsidP="00232A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32A1D" w:rsidRPr="006110E7" w:rsidRDefault="00232A1D" w:rsidP="00232A1D">
      <w:pPr>
        <w:ind w:firstLine="708"/>
        <w:jc w:val="both"/>
        <w:rPr>
          <w:sz w:val="16"/>
          <w:szCs w:val="16"/>
        </w:rPr>
      </w:pP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4. Стоимость договора и порядок расчетов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собираемая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определяется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232A1D" w:rsidRPr="00CC3ED0" w:rsidRDefault="00232A1D" w:rsidP="00232A1D">
      <w:pPr>
        <w:jc w:val="both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 Срок действия, изменение и прекращение договора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 xml:space="preserve">.  Срок начала выполнения Управляющей организацией </w:t>
      </w:r>
      <w:proofErr w:type="spellStart"/>
      <w:r>
        <w:rPr>
          <w:sz w:val="28"/>
          <w:szCs w:val="28"/>
        </w:rPr>
        <w:t>обязательств_____________</w:t>
      </w:r>
      <w:proofErr w:type="spellEnd"/>
      <w:r>
        <w:rPr>
          <w:sz w:val="28"/>
          <w:szCs w:val="28"/>
        </w:rPr>
        <w:t>.</w:t>
      </w:r>
    </w:p>
    <w:p w:rsidR="00232A1D" w:rsidRPr="00164050" w:rsidRDefault="00232A1D" w:rsidP="00232A1D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 xml:space="preserve">ние которых возможно в сложившихся условиях, и предъявляет </w:t>
      </w:r>
      <w:r w:rsidRPr="00164050">
        <w:rPr>
          <w:sz w:val="28"/>
          <w:szCs w:val="28"/>
        </w:rPr>
        <w:lastRenderedPageBreak/>
        <w:t>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t>6.3. Собственники помещений в многоквартирном доме вправе отказаться от исполнения договора управления многоквартирным домом, если до истеч</w:t>
      </w:r>
      <w:r w:rsidRPr="00164050">
        <w:rPr>
          <w:rFonts w:ascii="Times New Roman" w:hAnsi="Times New Roman" w:cs="Times New Roman"/>
          <w:sz w:val="28"/>
          <w:szCs w:val="28"/>
        </w:rPr>
        <w:t>е</w:t>
      </w:r>
      <w:r w:rsidRPr="00164050">
        <w:rPr>
          <w:rFonts w:ascii="Times New Roman" w:hAnsi="Times New Roman" w:cs="Times New Roman"/>
          <w:sz w:val="28"/>
          <w:szCs w:val="28"/>
        </w:rPr>
        <w:t>ния срока действия такого договора общим собранием собственников помещ</w:t>
      </w:r>
      <w:r w:rsidRPr="00164050">
        <w:rPr>
          <w:rFonts w:ascii="Times New Roman" w:hAnsi="Times New Roman" w:cs="Times New Roman"/>
          <w:sz w:val="28"/>
          <w:szCs w:val="28"/>
        </w:rPr>
        <w:t>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ний в многоквартирном доме принято решение о выборе способа управления этим домом. 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 Порядок разрешения споров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.1. Споры и разногласия, которые могу возникнуть при исполнении условий настоящего дог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вора, разрешаются Сторонами путем переговоров.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соответствии с действующим законодател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ством Российской Федерации.</w:t>
      </w: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CC3ED0">
        <w:rPr>
          <w:sz w:val="28"/>
          <w:szCs w:val="28"/>
        </w:rPr>
        <w:t>. Прочие условия</w:t>
      </w:r>
    </w:p>
    <w:p w:rsidR="00232A1D" w:rsidRDefault="00232A1D" w:rsidP="0023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мой частью.</w:t>
      </w:r>
    </w:p>
    <w:p w:rsidR="00232A1D" w:rsidRPr="00CC3ED0" w:rsidRDefault="00232A1D" w:rsidP="0023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Все неоговоренные в настоящем Договоре положения регулируются по соглашению Сторон, либо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CC3ED0">
        <w:rPr>
          <w:sz w:val="28"/>
          <w:szCs w:val="28"/>
        </w:rPr>
        <w:t xml:space="preserve"> Все надлежаще оформленные приложения и дополнительные соглашения к настоящему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говору являются его неотъемлемой частью.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CC3ED0">
        <w:rPr>
          <w:sz w:val="28"/>
          <w:szCs w:val="28"/>
        </w:rPr>
        <w:t>. Адреса и реквизиты сторон</w:t>
      </w:r>
    </w:p>
    <w:p w:rsidR="00232A1D" w:rsidRPr="006110E7" w:rsidRDefault="00232A1D" w:rsidP="00232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232A1D" w:rsidRPr="00CC3ED0" w:rsidRDefault="00232A1D" w:rsidP="00232A1D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232A1D" w:rsidRPr="00CC3ED0" w:rsidRDefault="00232A1D" w:rsidP="00232A1D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232A1D" w:rsidRPr="00CC3ED0" w:rsidRDefault="00232A1D" w:rsidP="00232A1D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9C7FA0" w:rsidRDefault="00232A1D">
      <w:r w:rsidRPr="00CC3ED0">
        <w:rPr>
          <w:sz w:val="28"/>
          <w:szCs w:val="28"/>
        </w:rPr>
        <w:t xml:space="preserve">                М.П.</w:t>
      </w:r>
    </w:p>
    <w:sectPr w:rsidR="009C7FA0" w:rsidSect="00541304">
      <w:headerReference w:type="even" r:id="rId5"/>
      <w:headerReference w:type="default" r:id="rId6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895162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959" w:rsidRDefault="008951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895162">
    <w:pPr>
      <w:pStyle w:val="a5"/>
      <w:jc w:val="center"/>
    </w:pPr>
    <w:r>
      <w:fldChar w:fldCharType="begin"/>
    </w:r>
    <w:r>
      <w:instrText>PAG</w:instrText>
    </w:r>
    <w:r>
      <w:instrText>E   \</w:instrText>
    </w:r>
    <w:r>
      <w:instrText>*</w:instrText>
    </w:r>
    <w:r>
      <w:instrText xml:space="preserve">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3B6959" w:rsidRDefault="008951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1D"/>
    <w:rsid w:val="00232A1D"/>
    <w:rsid w:val="00895162"/>
    <w:rsid w:val="009C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A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32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32A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232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232A1D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232A1D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A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2A1D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semiHidden/>
    <w:rsid w:val="00232A1D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semiHidden/>
    <w:rsid w:val="00232A1D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232A1D"/>
    <w:rPr>
      <w:rFonts w:ascii="Calibri" w:eastAsia="Times New Roman" w:hAnsi="Calibri" w:cs="Times New Roman"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232A1D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232A1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232A1D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32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32A1D"/>
  </w:style>
  <w:style w:type="paragraph" w:styleId="a8">
    <w:name w:val="footer"/>
    <w:basedOn w:val="a"/>
    <w:link w:val="a9"/>
    <w:rsid w:val="00232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232A1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rsid w:val="00232A1D"/>
    <w:rPr>
      <w:rFonts w:ascii="Tahoma" w:eastAsia="Times New Roman" w:hAnsi="Tahoma" w:cs="Times New Roman"/>
      <w:sz w:val="16"/>
      <w:szCs w:val="16"/>
      <w:lang/>
    </w:rPr>
  </w:style>
  <w:style w:type="paragraph" w:styleId="ac">
    <w:name w:val="List Paragraph"/>
    <w:basedOn w:val="a"/>
    <w:uiPriority w:val="34"/>
    <w:qFormat/>
    <w:rsid w:val="00232A1D"/>
    <w:pPr>
      <w:ind w:left="708"/>
    </w:pPr>
  </w:style>
  <w:style w:type="character" w:customStyle="1" w:styleId="ad">
    <w:name w:val="Заголовок Знак"/>
    <w:rsid w:val="00232A1D"/>
    <w:rPr>
      <w:rFonts w:ascii="Arial" w:hAnsi="Arial"/>
      <w:b/>
      <w:spacing w:val="10"/>
      <w:position w:val="10"/>
      <w:sz w:val="24"/>
    </w:rPr>
  </w:style>
  <w:style w:type="table" w:styleId="ae">
    <w:name w:val="Table Grid"/>
    <w:basedOn w:val="a1"/>
    <w:uiPriority w:val="59"/>
    <w:rsid w:val="0023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232A1D"/>
    <w:rPr>
      <w:color w:val="0000FF"/>
      <w:u w:val="single"/>
    </w:rPr>
  </w:style>
  <w:style w:type="character" w:customStyle="1" w:styleId="msonormal0">
    <w:name w:val="msonormal"/>
    <w:rsid w:val="00232A1D"/>
  </w:style>
  <w:style w:type="paragraph" w:customStyle="1" w:styleId="consplusnormal0">
    <w:name w:val="consplusnormal"/>
    <w:basedOn w:val="a"/>
    <w:rsid w:val="00232A1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232A1D"/>
  </w:style>
  <w:style w:type="paragraph" w:styleId="af0">
    <w:name w:val="Subtitle"/>
    <w:basedOn w:val="a"/>
    <w:next w:val="a"/>
    <w:link w:val="af1"/>
    <w:qFormat/>
    <w:rsid w:val="00232A1D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basedOn w:val="a0"/>
    <w:link w:val="af0"/>
    <w:rsid w:val="00232A1D"/>
    <w:rPr>
      <w:rFonts w:ascii="Cambria" w:eastAsia="Times New Roman" w:hAnsi="Cambria" w:cs="Times New Roman"/>
      <w:sz w:val="24"/>
      <w:szCs w:val="24"/>
      <w:lang/>
    </w:rPr>
  </w:style>
  <w:style w:type="paragraph" w:customStyle="1" w:styleId="ConsPlusNonformat">
    <w:name w:val="ConsPlusNonformat"/>
    <w:rsid w:val="00232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2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32A1D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rsid w:val="00232A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List 2"/>
    <w:basedOn w:val="a"/>
    <w:rsid w:val="00232A1D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232A1D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232A1D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rsid w:val="00232A1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232A1D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232A1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Цветовое выделение"/>
    <w:rsid w:val="00232A1D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232A1D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232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232A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Heading1Char">
    <w:name w:val="Heading 1 Char"/>
    <w:uiPriority w:val="99"/>
    <w:locked/>
    <w:rsid w:val="00232A1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232A1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232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3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32A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32A1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32A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2263</Words>
  <Characters>12904</Characters>
  <Application>Microsoft Office Word</Application>
  <DocSecurity>0</DocSecurity>
  <Lines>107</Lines>
  <Paragraphs>30</Paragraphs>
  <ScaleCrop>false</ScaleCrop>
  <Company>UFK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2024-03-21T03:44:00Z</dcterms:created>
  <dcterms:modified xsi:type="dcterms:W3CDTF">2024-03-21T03:46:00Z</dcterms:modified>
</cp:coreProperties>
</file>