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63" w:rsidRDefault="00BF0F63">
      <w:pPr>
        <w:spacing w:line="276" w:lineRule="auto"/>
        <w:divId w:val="2145270102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F0F63">
        <w:trPr>
          <w:divId w:val="2145270102"/>
          <w:tblCellSpacing w:w="0" w:type="dxa"/>
        </w:trPr>
        <w:tc>
          <w:tcPr>
            <w:tcW w:w="0" w:type="auto"/>
            <w:vAlign w:val="center"/>
            <w:hideMark/>
          </w:tcPr>
          <w:p w:rsidR="00BF0F63" w:rsidRDefault="00BF0F6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 о социально-экономическом развитии</w:t>
            </w:r>
          </w:p>
        </w:tc>
      </w:tr>
      <w:tr w:rsidR="00BF0F63">
        <w:trPr>
          <w:divId w:val="2145270102"/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BF0F63" w:rsidRDefault="00BF0F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Смоленского района в 2018 году.</w:t>
            </w:r>
          </w:p>
        </w:tc>
      </w:tr>
      <w:tr w:rsidR="00BF0F63">
        <w:trPr>
          <w:divId w:val="2145270102"/>
          <w:tblCellSpacing w:w="0" w:type="dxa"/>
        </w:trPr>
        <w:tc>
          <w:tcPr>
            <w:tcW w:w="0" w:type="auto"/>
            <w:vAlign w:val="center"/>
            <w:hideMark/>
          </w:tcPr>
          <w:p w:rsidR="00BF0F63" w:rsidRDefault="00BF0F63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A94E51">
              <w:rPr>
                <w:sz w:val="22"/>
                <w:szCs w:val="22"/>
              </w:rPr>
              <w:t>(официальное наименование городского округа (муниципального района)</w:t>
            </w:r>
          </w:p>
        </w:tc>
      </w:tr>
    </w:tbl>
    <w:p w:rsidR="00BF0F63" w:rsidRDefault="00BF0F63">
      <w:pPr>
        <w:spacing w:after="240" w:line="276" w:lineRule="auto"/>
        <w:divId w:val="2145270102"/>
      </w:pPr>
      <w:r>
        <w:br/>
      </w:r>
      <w:r>
        <w:br/>
      </w:r>
    </w:p>
    <w:p w:rsidR="00BF0F63" w:rsidRDefault="00BF0F63">
      <w:pPr>
        <w:spacing w:after="240" w:line="276" w:lineRule="auto"/>
        <w:jc w:val="center"/>
        <w:divId w:val="1295866518"/>
      </w:pPr>
      <w:r>
        <w:rPr>
          <w:rStyle w:val="a4"/>
          <w:sz w:val="28"/>
          <w:szCs w:val="28"/>
        </w:rPr>
        <w:t xml:space="preserve">Промышленное производство </w:t>
      </w:r>
    </w:p>
    <w:p w:rsidR="00BF0F63" w:rsidRDefault="00BF0F63">
      <w:pPr>
        <w:pStyle w:val="a3"/>
        <w:spacing w:before="0" w:beforeAutospacing="0" w:after="0" w:afterAutospacing="0" w:line="276" w:lineRule="auto"/>
        <w:jc w:val="both"/>
        <w:divId w:val="1728915187"/>
        <w:rPr>
          <w:sz w:val="28"/>
          <w:szCs w:val="28"/>
        </w:rPr>
      </w:pPr>
      <w:r>
        <w:rPr>
          <w:sz w:val="28"/>
          <w:szCs w:val="28"/>
        </w:rPr>
        <w:t xml:space="preserve">Промышленное производство района представлено перерабатывающими отраслями, производством тепловой энергии и воды. В январе – декабре 2018 года индекс промышленного производства составил 100,7%, объем отгруженной продукции промышленными предприятиями района – 1045,93 млн. рублей или 106,2% к уровню 2017 года. Наибольший рост производства зафиксирован на предприятиях, осуществляющих выпуск: • концентратов и смесей кормовых – 117,6%; • бланков - 114% • пищевых продуктов (продукты зерновые для завтраков) - 120,4%. Выросло производство масла растительного в 12 раз, круп и пиломате риалов в 1,9 раза. Значительно сократилось производство мяса – 59,9%, кондитерских изделий – 59,4%. Промышленное производство сосредоточено, в основном, в трех поселениях района (Смоленский, Новотырышкинский, Кировский сельсоветы), что создает неравнозначные экономические условия развития других поселений. В отрасль «Промышленность» включено производство и распределение теплоэнергии. Предприятия ЖКХ в силу сложившихся обстоятельств (сдерживание тарифов, изношенность основных фондов, большие затраты на их ремонт, не перекрывающиеся тарифами и большая задолженность населения по платежам за потребленную теплоэнергию) находятся в кризисном состоянии </w:t>
      </w:r>
    </w:p>
    <w:p w:rsidR="00BF0F63" w:rsidRDefault="00BF0F63">
      <w:pPr>
        <w:spacing w:line="276" w:lineRule="auto"/>
        <w:jc w:val="center"/>
        <w:divId w:val="1295866518"/>
      </w:pPr>
    </w:p>
    <w:p w:rsidR="00BF0F63" w:rsidRDefault="00BF0F63">
      <w:pPr>
        <w:spacing w:after="240" w:line="276" w:lineRule="auto"/>
        <w:jc w:val="center"/>
        <w:divId w:val="1311329363"/>
      </w:pPr>
      <w:r>
        <w:rPr>
          <w:rStyle w:val="a4"/>
          <w:sz w:val="28"/>
          <w:szCs w:val="28"/>
        </w:rPr>
        <w:t xml:space="preserve">Сельскохозяйственное производство </w:t>
      </w:r>
    </w:p>
    <w:p w:rsidR="00BF0F63" w:rsidRDefault="00BF0F63">
      <w:pPr>
        <w:pStyle w:val="a3"/>
        <w:spacing w:before="0" w:beforeAutospacing="0" w:after="0" w:afterAutospacing="0" w:line="276" w:lineRule="auto"/>
        <w:jc w:val="both"/>
        <w:divId w:val="1533542769"/>
        <w:rPr>
          <w:sz w:val="28"/>
          <w:szCs w:val="28"/>
        </w:rPr>
      </w:pPr>
      <w:r>
        <w:rPr>
          <w:sz w:val="28"/>
          <w:szCs w:val="28"/>
        </w:rPr>
        <w:t xml:space="preserve">Сельское хозяйство - основное направление экономики района. Основная отрасль – растениеводство, развивается животноводство. Деятельность в области сельского хозяйства на территории района ведут 13 сельхозпредприятий, 15 крестьянско-фермерских хозяйств и индивидуальных предпринимателей.. Животноводством в районе занимаются 7 сельхозпредприятий, 14 крестьянско-фермерских хозяйств и индивидуальных предпринимателей, а также личные подсобные хозяйства. Поголовье крупного рогатого скота в хозяйствах всех категорий за 2018 года сократилось и составило 10906 головы, или 94,4% к 2017 году, в том </w:t>
      </w:r>
      <w:r>
        <w:rPr>
          <w:sz w:val="28"/>
          <w:szCs w:val="28"/>
        </w:rPr>
        <w:lastRenderedPageBreak/>
        <w:t xml:space="preserve">числе коров - 4491 голова (94,6% к 2017 году), свиней - 3292 головы (73,9% к 2017 году), птицы – 9500 головы (100% к 2017 году). Продуктивность сельскохозяйственных животных: - надой молока на 1 корову в сельхозорганизациях – 5015 кг (111,4% к 2017 году); - среднесуточный привес крупного рогатого скота в сельхозорганизациях – 543 гр. (91% к 2017 году). Производство зерновых и зернобобовых культур в связи с погодными условиями сократилось в сравнении с 2017 годом и составило 74119 тонн (91,3%), урожайность 19,2 ц/га. В сравнении с 2017 годом на 176,8% увеличился валовый сбор подсолнечника и составил 15498 тонны. Урожайность 19,6 ц/га, в 2017 году – 18,9%. </w:t>
      </w:r>
    </w:p>
    <w:p w:rsidR="00BF0F63" w:rsidRDefault="00BF0F63">
      <w:pPr>
        <w:spacing w:line="276" w:lineRule="auto"/>
        <w:jc w:val="center"/>
        <w:divId w:val="1311329363"/>
      </w:pPr>
    </w:p>
    <w:p w:rsidR="00BF0F63" w:rsidRDefault="00BF0F63">
      <w:pPr>
        <w:spacing w:after="240" w:line="276" w:lineRule="auto"/>
        <w:jc w:val="center"/>
        <w:divId w:val="1233811319"/>
      </w:pPr>
      <w:r>
        <w:rPr>
          <w:rStyle w:val="a4"/>
          <w:sz w:val="28"/>
          <w:szCs w:val="28"/>
        </w:rPr>
        <w:t xml:space="preserve">Реализация инвестиционных проектов на территории муниципального района </w:t>
      </w:r>
    </w:p>
    <w:p w:rsidR="00BF0F63" w:rsidRDefault="00BF0F63">
      <w:pPr>
        <w:pStyle w:val="a3"/>
        <w:spacing w:before="0" w:beforeAutospacing="0" w:after="0" w:afterAutospacing="0" w:line="276" w:lineRule="auto"/>
        <w:jc w:val="both"/>
        <w:divId w:val="510607116"/>
        <w:rPr>
          <w:sz w:val="28"/>
          <w:szCs w:val="28"/>
        </w:rPr>
      </w:pPr>
      <w:r>
        <w:rPr>
          <w:sz w:val="28"/>
          <w:szCs w:val="28"/>
        </w:rPr>
        <w:t xml:space="preserve">Основными сферами инвестиционной деятельности в 2018 году оста-лись - сельское хозяйство, ремонт дорог, энергетика. В отчетном периоде на территории района реализовано 17 инвестиционных проектов в основном в сельском хозяйстве: строительство элеватора, зернохранилищ, мехтока, складских помещений и др. (ООО Агро-Сибирь, ООО Житница, ООО Советская крупа, ИП Любимов, СПК Точиильное и др.). В 2018 году построено 2 магазина (с. Новотырышкино, с. Солоновка). Продолжена реализация проекта по строительству цеха по переработке молока (СПСК «Смоленский»). Общая стоимость проекта составляет 6,3 млн. рублей, в том числе 3,0 млн. рублей грантовая поддержка. В 2018 году сельскохозяйственными предприятиями всех форм собственности приобретено новой техники и оборудования на сумму 98,7 млн. рублей. Развивается сфера туризма, объем инвестиций за 2018 год составил 38,2 млн. рублей (ТРК «Сибирское подворье», ранчо «Простаквашино», сельские гостевые дома). В рамках реализации краевой адресной инвестиционной программы на 2018 год по разделу «Образование» району выделено на капитальный ремонт здания МБОУ «Смоленская средняя общеобразовательная школа №1 из краевого бюджета 37349,1 тыс. рублей. Собственные средства (софинансирование) составили 1587,0 тыс. рублей. Кроме того, постановлением Правительства Алтайского края от 29.08.2018 года №339 в раздел «Образование» внесено мероприятие по капитальному ремонту здания «Черновской основной общеобразовательной школы» филиала МБОУ «Сычевская средняя общеобразовательная школа им. К.Ф. Лебединской» в сумме 6917,0 тыс. рублей из краевого бюджета. Собственные средства (софинансирование) в сумме 364,05 тыс. рублей </w:t>
      </w:r>
      <w:r>
        <w:rPr>
          <w:sz w:val="28"/>
          <w:szCs w:val="28"/>
        </w:rPr>
        <w:lastRenderedPageBreak/>
        <w:t xml:space="preserve">освоены в полном объеме. В рамках Федерального закона №44-ФЗ ведется работа по освоению выделенных средств. На реализацию мероприятий по обеспечению стабильного водоснаб-жения населения, району предоставлена субсидия из краевого бюджета в сумме 2,8 млн. рублей на проведение ремонта эксплуатационной скважины на воду с установкой павильона в п. Кировский. Контракт на проведение работ заключен 25.05.2018 года с ООО «Барнаулгазспецстрой» на сумму 1,729 млн. рублей (по результатам торгов). </w:t>
      </w:r>
    </w:p>
    <w:p w:rsidR="00BF0F63" w:rsidRDefault="00BF0F63">
      <w:pPr>
        <w:spacing w:line="276" w:lineRule="auto"/>
        <w:jc w:val="center"/>
        <w:divId w:val="1233811319"/>
      </w:pPr>
    </w:p>
    <w:p w:rsidR="00BF0F63" w:rsidRDefault="00BF0F63">
      <w:pPr>
        <w:spacing w:after="240" w:line="276" w:lineRule="auto"/>
        <w:jc w:val="center"/>
        <w:divId w:val="1197892040"/>
      </w:pPr>
      <w:r>
        <w:rPr>
          <w:rStyle w:val="a4"/>
          <w:sz w:val="28"/>
          <w:szCs w:val="28"/>
        </w:rPr>
        <w:t xml:space="preserve">Состояние малого и среднего предпринимательства, меры государственной поддержки малого и среднего предпринимательства </w:t>
      </w:r>
    </w:p>
    <w:p w:rsidR="00BF0F63" w:rsidRDefault="00BF0F63">
      <w:pPr>
        <w:pStyle w:val="a3"/>
        <w:spacing w:before="0" w:beforeAutospacing="0" w:after="0" w:afterAutospacing="0" w:line="276" w:lineRule="auto"/>
        <w:jc w:val="both"/>
        <w:divId w:val="824247909"/>
        <w:rPr>
          <w:sz w:val="28"/>
          <w:szCs w:val="28"/>
        </w:rPr>
      </w:pPr>
      <w:r>
        <w:rPr>
          <w:sz w:val="28"/>
          <w:szCs w:val="28"/>
        </w:rPr>
        <w:t xml:space="preserve">На 01.01.2019 в районе зарегистрировано 512 субъектов малого и среднего предпринимательства, в том числе: 403 индивидуальных предпринимателей и 16 малых предприятий. Субъекты малого и среднего бизнеса присутствуют практически во всех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В районе создана база системной поддержки малого и среднего бизнеса. В информационно-консультационный центр поддержки предпринимательства, который работает в Администрации Смоленского района, за 2018 год поступило 208 обращений по вопросам регистрации ИП, лицензирования деятельности, финансовой поддержки, составления бизнес-плана и др. При содействии специалиста ИКЦ финансовую поддержку получил 1 субъект малого и среднего бизнеса, 3 зарегистрированы в качестве индивидуальных предпринимателей. За 2018 год специалистом ИКЦ организовано 5 семинаров, в которых приняло участие более 60 человек. В районе продолжает работать Общественный совет по развитию предпринимательства при главе района. За 2018 год проведено 3 заседания совета, на которых рассмотрены актуальные вопросы развития бизнеса в районе. В 2018 году при содействии специалиста ИКЦ предприятие ООО «Советская крупа» (руководитель Семейкин В.В.) приняло участие в краевом конкурсе «Лучший предприниматель года» в номинации «Лучшее сельскохозяйственное предприятии» и заняло 3 место. Доходы в бюджет от СМСП за 2018 год составили 48,5 млн. руб. или 54,3% от всех налоговых поступлений. </w:t>
      </w:r>
    </w:p>
    <w:p w:rsidR="00BF0F63" w:rsidRDefault="00BF0F63">
      <w:pPr>
        <w:spacing w:line="276" w:lineRule="auto"/>
        <w:jc w:val="center"/>
        <w:divId w:val="1197892040"/>
      </w:pPr>
    </w:p>
    <w:p w:rsidR="00BF0F63" w:rsidRDefault="00BF0F63">
      <w:pPr>
        <w:spacing w:after="240" w:line="276" w:lineRule="auto"/>
        <w:jc w:val="center"/>
        <w:divId w:val="1306204610"/>
      </w:pPr>
      <w:r>
        <w:rPr>
          <w:rStyle w:val="a4"/>
          <w:sz w:val="28"/>
          <w:szCs w:val="28"/>
        </w:rPr>
        <w:t xml:space="preserve">Ситуация на рынке труда </w:t>
      </w:r>
    </w:p>
    <w:p w:rsidR="00BF0F63" w:rsidRDefault="00BF0F63">
      <w:pPr>
        <w:pStyle w:val="a3"/>
        <w:spacing w:before="0" w:beforeAutospacing="0" w:after="0" w:afterAutospacing="0" w:line="276" w:lineRule="auto"/>
        <w:jc w:val="both"/>
        <w:divId w:val="15910400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2018 года, численность занятых в экономике составила 6650 человек, в том числе: в сельском хозяйстве – 822 человека, в отраслях ЖКХ и энергетики -128 человек, торговле - 176 человек, государственном и муниципальном управлении – 422 человека, образовании - 760 человек, здравоохранении - 406 человек, культуре – 106 человек и др. Отраслевая структура занятых в экономике района не меняется на протяжении ряда лет. Основная доля занятых, приходится на сельское хозяйство, торговлю, образование, здравоохранение и государственное управление. По состоянию на 01.01.2019 года уровень официально зарегистрированной безработицы (в % к экономически активному населению) составил 2,3% (за 2017 - 2,2%), напряженность на рынке труда - 3 человека на место или 96,5% к 2017 году. За 2018 года создано новых и модернизировано 107 рабочих места или 91,5% к уровню 2017 года. </w:t>
      </w:r>
    </w:p>
    <w:p w:rsidR="00BF0F63" w:rsidRDefault="00BF0F63">
      <w:pPr>
        <w:spacing w:line="276" w:lineRule="auto"/>
        <w:jc w:val="center"/>
        <w:divId w:val="1306204610"/>
      </w:pPr>
    </w:p>
    <w:p w:rsidR="00BF0F63" w:rsidRDefault="00BF0F63">
      <w:pPr>
        <w:spacing w:after="240" w:line="276" w:lineRule="auto"/>
        <w:jc w:val="center"/>
        <w:divId w:val="1048412090"/>
      </w:pPr>
      <w:r>
        <w:rPr>
          <w:rStyle w:val="a4"/>
          <w:sz w:val="28"/>
          <w:szCs w:val="28"/>
        </w:rPr>
        <w:t xml:space="preserve">Уровень жизни населения </w:t>
      </w:r>
    </w:p>
    <w:p w:rsidR="00BF0F63" w:rsidRDefault="00BF0F63">
      <w:pPr>
        <w:pStyle w:val="a3"/>
        <w:spacing w:before="0" w:beforeAutospacing="0" w:after="0" w:afterAutospacing="0" w:line="276" w:lineRule="auto"/>
        <w:jc w:val="both"/>
        <w:divId w:val="1137920741"/>
        <w:rPr>
          <w:sz w:val="28"/>
          <w:szCs w:val="28"/>
        </w:rPr>
      </w:pPr>
      <w:r>
        <w:rPr>
          <w:sz w:val="28"/>
          <w:szCs w:val="28"/>
        </w:rPr>
        <w:t>Сохраняется положительная динамика показателей, характеризующих уровень жизни населения: по итогам января-декабря 2018 года среднемесячная заработная плата одного работника по крупным и средним организациям составила 23434,9 рублей или 115,2% к 2017 году. Средняя заработная плата одного работника увеличилась практически по всем отраслям экономики в сравнении с 2017 годом. Наибольший прирост показателя наблюдается на предприятиях сельского хозяйства - 128,2%, энергетики - 122,7% и в образовании - 124%.</w:t>
      </w:r>
    </w:p>
    <w:p w:rsidR="00BF0F63" w:rsidRDefault="00BF0F63">
      <w:pPr>
        <w:spacing w:line="276" w:lineRule="auto"/>
        <w:jc w:val="center"/>
        <w:divId w:val="1048412090"/>
      </w:pPr>
    </w:p>
    <w:p w:rsidR="00BF0F63" w:rsidRDefault="00BF0F63">
      <w:pPr>
        <w:spacing w:after="240" w:line="276" w:lineRule="auto"/>
        <w:jc w:val="center"/>
        <w:divId w:val="50008406"/>
      </w:pPr>
      <w:r>
        <w:rPr>
          <w:rStyle w:val="a4"/>
          <w:sz w:val="28"/>
          <w:szCs w:val="28"/>
        </w:rPr>
        <w:t xml:space="preserve">Состояние местных бюджетов </w:t>
      </w:r>
    </w:p>
    <w:p w:rsidR="00BF0F63" w:rsidRDefault="00BF0F63">
      <w:pPr>
        <w:pStyle w:val="a3"/>
        <w:spacing w:before="0" w:beforeAutospacing="0" w:after="0" w:afterAutospacing="0" w:line="276" w:lineRule="auto"/>
        <w:jc w:val="both"/>
        <w:divId w:val="715936537"/>
        <w:rPr>
          <w:sz w:val="28"/>
          <w:szCs w:val="28"/>
        </w:rPr>
      </w:pPr>
      <w:r>
        <w:rPr>
          <w:sz w:val="28"/>
          <w:szCs w:val="28"/>
        </w:rPr>
        <w:t xml:space="preserve">Доходы консолидированного бюджета района за январь-декабрь 2018 года составили 429946,3 тыс. рублей (97,4% по отношению к уровню 2017 года). Объем собственных доходов района – 138157,2 тыс. рублей, или 102,2% к аналогичному периоду прошлого года. Безвозмездные поступления из краевого бюджета составили – 291789,32 тыс. рублей, или 95,3% к 2017 году. За январь-декабрь 2018 года расходы бюджета, направленные на вы-полнение функций, возложенных на органы местного самоуправления, со-ставили 436408,4 тыс. рублей. Темп роста к аналогичному периоду прошлого года – 101,3%. Наибольший удельный вес в структуре расходов бюджета занимают расходы на образование – 291590,0 тыс. рублей, или 105,5% к аналогичному периоду 2017 года. Налоговые и неналоговые доходы бюджета на душу населения выросли на </w:t>
      </w:r>
      <w:r>
        <w:rPr>
          <w:sz w:val="28"/>
          <w:szCs w:val="28"/>
        </w:rPr>
        <w:lastRenderedPageBreak/>
        <w:t xml:space="preserve">102,9% и составили в 2018 году – 6363,5 рублей. Расходы бюджета на душу населения выросли на 102% и составили 20100 рублей в 2018 году. </w:t>
      </w:r>
    </w:p>
    <w:p w:rsidR="00BF0F63" w:rsidRDefault="00BF0F63">
      <w:pPr>
        <w:spacing w:line="276" w:lineRule="auto"/>
        <w:jc w:val="center"/>
        <w:divId w:val="50008406"/>
      </w:pPr>
    </w:p>
    <w:p w:rsidR="00BF0F63" w:rsidRDefault="00BF0F63">
      <w:pPr>
        <w:spacing w:after="240" w:line="276" w:lineRule="auto"/>
        <w:jc w:val="center"/>
        <w:divId w:val="1256016547"/>
      </w:pPr>
      <w:r>
        <w:rPr>
          <w:rStyle w:val="a4"/>
          <w:sz w:val="28"/>
          <w:szCs w:val="28"/>
        </w:rPr>
        <w:t xml:space="preserve">Жилищно-коммунальное хозяйство </w:t>
      </w:r>
    </w:p>
    <w:p w:rsidR="00BF0F63" w:rsidRDefault="00BF0F63">
      <w:pPr>
        <w:pStyle w:val="a3"/>
        <w:spacing w:before="0" w:beforeAutospacing="0" w:after="0" w:afterAutospacing="0" w:line="276" w:lineRule="auto"/>
        <w:jc w:val="both"/>
        <w:divId w:val="367728603"/>
        <w:rPr>
          <w:sz w:val="28"/>
          <w:szCs w:val="28"/>
        </w:rPr>
      </w:pPr>
      <w:r>
        <w:rPr>
          <w:sz w:val="28"/>
          <w:szCs w:val="28"/>
        </w:rPr>
        <w:t xml:space="preserve">За январь-декабрь 2018 года жилищно-коммунальные услуги в районе оказывали 6 профильных предприятий. Общий финансовый результат работы коммунального хозяйства за 2018 год выразился убытком в размере 15,4 млн. рублей. Удельный вес убыточных предприятий ЖКХ составил 66,7%. Собираемость платежей за коммунальные услуги увеличилась с 86% в 2017 году до 91% в 2018 году. Кредиторская задолженность предприятий ЖКХ с учетом долгов прошлых лет составляет 34,3 млн. рублей, из них просроченная кредиторская задолженность 23,8 млн. рублей, в том числе: 6,1 млн. рублей – долги в бюджет и внебюджетные фонды, 17,7 млн. рублей – долги перед поставщиками, в том числе 4,3 млн. рублей за уголь. Организация мероприятий по сбору и вывозу отходов с территорий жилых домов и предприятий осуществляется двумя организациями: ООО «Экоресурс» и МУП ТВС Смоленского района. На территории Смоленского района обустроен один санкционированный объект накопления и размещения твердых бытовых отходов, который передан в аренду предприятию ООО «Экоресурс. </w:t>
      </w:r>
    </w:p>
    <w:p w:rsidR="00BF0F63" w:rsidRDefault="00BF0F63">
      <w:pPr>
        <w:spacing w:line="276" w:lineRule="auto"/>
        <w:jc w:val="center"/>
        <w:divId w:val="1256016547"/>
      </w:pPr>
    </w:p>
    <w:p w:rsidR="00BF0F63" w:rsidRDefault="00BF0F63">
      <w:pPr>
        <w:spacing w:after="240" w:line="276" w:lineRule="auto"/>
        <w:jc w:val="center"/>
        <w:divId w:val="2091612113"/>
      </w:pPr>
      <w:r>
        <w:rPr>
          <w:rStyle w:val="a4"/>
          <w:sz w:val="28"/>
          <w:szCs w:val="28"/>
        </w:rPr>
        <w:t xml:space="preserve">Социальная сфера </w:t>
      </w:r>
    </w:p>
    <w:p w:rsidR="00BF0F63" w:rsidRDefault="00BF0F63">
      <w:pPr>
        <w:pStyle w:val="a3"/>
        <w:spacing w:before="0" w:beforeAutospacing="0" w:after="0" w:afterAutospacing="0" w:line="276" w:lineRule="auto"/>
        <w:jc w:val="both"/>
        <w:divId w:val="1770350018"/>
        <w:rPr>
          <w:sz w:val="28"/>
          <w:szCs w:val="28"/>
        </w:rPr>
      </w:pPr>
      <w:r>
        <w:rPr>
          <w:sz w:val="28"/>
          <w:szCs w:val="28"/>
        </w:rPr>
        <w:t xml:space="preserve">В Смоленском районе 14 образовательных организаций различного типа, из которых 12 находятся в ведомственном подчинении Комитета по образованию, два учреждения дополнительного образования подчинены Управлению по культуре, спорту и молодежной политике. На территории района осуществляет образовательную деятельность учреждение профессионального образования - КГБПОУ «Смоленский лицей профессионального образования». Объем выплаченной стипендии за 2018 года составил 1266,8 тыс. рублей. Медицинское обслуживание населения в районе оказывает КГБУЗ «Смоленская Центральная районная больница», в структуру которого входит: - участковая больница (УБ) в селе Сычевка; - 6 амбулаторий (СВА) в селах Солоновка, Новотырышкино, Точильное и поселках Линевский, Кировский, Верх-Обский. -15 фельдшерско-акушерских пунктов (ФАПов). Укомплектованность кадрами центральной районной больницы составляет: врачи – 87,1%, средний медицинский персонал – 96,8%, младший медицинский персонал – 84%, прочие – </w:t>
      </w:r>
      <w:r>
        <w:rPr>
          <w:sz w:val="28"/>
          <w:szCs w:val="28"/>
        </w:rPr>
        <w:lastRenderedPageBreak/>
        <w:t>104,7%. Охват детского населения профилактическими осмотрами в 2018 году составил 100%, охват населения по диспансеризации взрослого населения – 30% от численности взрослого населения. В районе функционирует 112 спортивных сооружений, из них: 1 стадион с трибунами, 90 плоскостных спортивных сооружений, 18 спортивных залов. На 01.01.2019 года в районе функционирует одна организация культурно - досугового типа и 31 обособленное подразделение культурно - досугового типа, из них 15 библиотек.</w:t>
      </w:r>
    </w:p>
    <w:p w:rsidR="00BF0F63" w:rsidRDefault="00BF0F63">
      <w:pPr>
        <w:spacing w:line="276" w:lineRule="auto"/>
        <w:jc w:val="center"/>
        <w:divId w:val="2091612113"/>
      </w:pPr>
    </w:p>
    <w:p w:rsidR="00BF0F63" w:rsidRDefault="00BF0F63">
      <w:pPr>
        <w:spacing w:after="240" w:line="276" w:lineRule="auto"/>
        <w:divId w:val="2145270102"/>
      </w:pPr>
      <w:r>
        <w:br/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1260"/>
        <w:gridCol w:w="1830"/>
      </w:tblGrid>
      <w:tr w:rsidR="00BF0F63">
        <w:trPr>
          <w:divId w:val="924529808"/>
          <w:tblCellSpacing w:w="15" w:type="dxa"/>
        </w:trPr>
        <w:tc>
          <w:tcPr>
            <w:tcW w:w="0" w:type="auto"/>
            <w:vAlign w:val="center"/>
            <w:hideMark/>
          </w:tcPr>
          <w:p w:rsidR="00BF0F63" w:rsidRDefault="00BF0F63" w:rsidP="007964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0" w:type="auto"/>
            <w:vAlign w:val="bottom"/>
            <w:hideMark/>
          </w:tcPr>
          <w:p w:rsidR="00BF0F63" w:rsidRDefault="00BF0F63">
            <w:r>
              <w:t>__________</w:t>
            </w:r>
          </w:p>
        </w:tc>
        <w:tc>
          <w:tcPr>
            <w:tcW w:w="0" w:type="auto"/>
            <w:vAlign w:val="bottom"/>
            <w:hideMark/>
          </w:tcPr>
          <w:p w:rsidR="00BF0F63" w:rsidRDefault="00BF0F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 Моисеева</w:t>
            </w:r>
          </w:p>
        </w:tc>
      </w:tr>
      <w:tr w:rsidR="00BF0F63">
        <w:trPr>
          <w:divId w:val="924529808"/>
          <w:tblCellSpacing w:w="15" w:type="dxa"/>
        </w:trPr>
        <w:tc>
          <w:tcPr>
            <w:tcW w:w="0" w:type="auto"/>
            <w:vAlign w:val="center"/>
            <w:hideMark/>
          </w:tcPr>
          <w:p w:rsidR="00BF0F63" w:rsidRDefault="00BF0F63">
            <w:r>
              <w:t> </w:t>
            </w:r>
          </w:p>
        </w:tc>
        <w:tc>
          <w:tcPr>
            <w:tcW w:w="0" w:type="auto"/>
            <w:hideMark/>
          </w:tcPr>
          <w:p w:rsidR="00BF0F63" w:rsidRDefault="00BF0F63"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F0F63" w:rsidRDefault="00BF0F63">
            <w:r>
              <w:t> 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5"/>
        <w:gridCol w:w="81"/>
      </w:tblGrid>
      <w:tr w:rsidR="00BF0F63">
        <w:trPr>
          <w:divId w:val="2145270102"/>
          <w:tblCellSpacing w:w="15" w:type="dxa"/>
        </w:trPr>
        <w:tc>
          <w:tcPr>
            <w:tcW w:w="5550" w:type="dxa"/>
            <w:vAlign w:val="center"/>
            <w:hideMark/>
          </w:tcPr>
          <w:p w:rsidR="00BF0F63" w:rsidRDefault="00BF0F63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F0F63" w:rsidRDefault="00BF0F63"/>
        </w:tc>
      </w:tr>
    </w:tbl>
    <w:p w:rsidR="00BF0F63" w:rsidRDefault="00BF0F63">
      <w:pPr>
        <w:divId w:val="2145270102"/>
      </w:pPr>
    </w:p>
    <w:sectPr w:rsidR="00BF0F63" w:rsidSect="00A94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1F" w:rsidRDefault="00C4011F" w:rsidP="00A94E51">
      <w:r>
        <w:separator/>
      </w:r>
    </w:p>
  </w:endnote>
  <w:endnote w:type="continuationSeparator" w:id="1">
    <w:p w:rsidR="00C4011F" w:rsidRDefault="00C4011F" w:rsidP="00A9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51" w:rsidRDefault="00A94E5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51" w:rsidRDefault="00A94E51" w:rsidP="00A94E51">
    <w:pPr>
      <w:pStyle w:val="a7"/>
      <w:jc w:val="right"/>
    </w:pPr>
    <w:fldSimple w:instr=" PAGE  \* MERGEFORMAT ">
      <w:r w:rsidR="00BA26C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51" w:rsidRDefault="00A94E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1F" w:rsidRDefault="00C4011F" w:rsidP="00A94E51">
      <w:r>
        <w:separator/>
      </w:r>
    </w:p>
  </w:footnote>
  <w:footnote w:type="continuationSeparator" w:id="1">
    <w:p w:rsidR="00C4011F" w:rsidRDefault="00C4011F" w:rsidP="00A94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51" w:rsidRDefault="00A94E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51" w:rsidRDefault="00A94E5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51" w:rsidRDefault="00A94E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E51"/>
    <w:rsid w:val="002438CB"/>
    <w:rsid w:val="002E7EA6"/>
    <w:rsid w:val="006F6162"/>
    <w:rsid w:val="0070626C"/>
    <w:rsid w:val="0079645B"/>
    <w:rsid w:val="00A94E51"/>
    <w:rsid w:val="00BA26C8"/>
    <w:rsid w:val="00BF0F63"/>
    <w:rsid w:val="00C4011F"/>
    <w:rsid w:val="00DB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94E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4E51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94E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4E5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5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93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11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2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46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120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84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121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GUEI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Tema</cp:lastModifiedBy>
  <cp:revision>2</cp:revision>
  <cp:lastPrinted>2019-04-24T01:56:00Z</cp:lastPrinted>
  <dcterms:created xsi:type="dcterms:W3CDTF">2022-06-28T04:16:00Z</dcterms:created>
  <dcterms:modified xsi:type="dcterms:W3CDTF">2022-06-28T04:16:00Z</dcterms:modified>
</cp:coreProperties>
</file>