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B46F44" w:rsidTr="00F90FDA">
        <w:trPr>
          <w:trHeight w:val="15160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46F44" w:rsidRPr="00D53B80" w:rsidRDefault="00B46F44" w:rsidP="00F90FDA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B46F44" w:rsidRDefault="00B46F44" w:rsidP="00F90FDA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B46F44" w:rsidRPr="00D53B80" w:rsidRDefault="00B46F44" w:rsidP="00F90FDA">
            <w:pPr>
              <w:jc w:val="center"/>
              <w:rPr>
                <w:b/>
              </w:rPr>
            </w:pPr>
          </w:p>
          <w:p w:rsidR="00B46F44" w:rsidRDefault="00B46F44" w:rsidP="00F90FDA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      с. Иконниково</w:t>
            </w:r>
          </w:p>
          <w:p w:rsidR="00B46F44" w:rsidRPr="00D53B80" w:rsidRDefault="00B46F44" w:rsidP="00F90FDA"/>
          <w:p w:rsidR="00B46F44" w:rsidRDefault="00B46F44" w:rsidP="00F90FDA">
            <w:r w:rsidRPr="00D53B80">
              <w:t>Общие сведения о проекте, представленном на публичные слушания:</w:t>
            </w:r>
          </w:p>
          <w:p w:rsidR="00B46F44" w:rsidRPr="00D53B80" w:rsidRDefault="00B46F44" w:rsidP="00F90FDA"/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B46F44" w:rsidRPr="0098101A" w:rsidRDefault="00B46F44" w:rsidP="00F90FDA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B46F44" w:rsidRPr="00D53B80" w:rsidRDefault="00B46F44" w:rsidP="00F90FDA"/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B46F44" w:rsidRPr="00D53B80" w:rsidRDefault="00B46F44" w:rsidP="00F90FDA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B46F44" w:rsidRPr="0098101A" w:rsidRDefault="00B46F44" w:rsidP="00F90FDA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B46F44" w:rsidRPr="00D53B80" w:rsidRDefault="00B46F44" w:rsidP="00F90FDA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/>
              </w:tc>
              <w:tc>
                <w:tcPr>
                  <w:tcW w:w="7373" w:type="dxa"/>
                </w:tcPr>
                <w:p w:rsidR="00B46F44" w:rsidRPr="00D53B80" w:rsidRDefault="00B46F44" w:rsidP="00F90FDA"/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B46F44" w:rsidRPr="00D53B80" w:rsidRDefault="00B46F44" w:rsidP="00F90FDA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B46F44" w:rsidRPr="00D53B80" w:rsidRDefault="00B46F44" w:rsidP="00F90FDA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7E4C77" w:rsidRDefault="00B46F44" w:rsidP="00F90FDA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B46F44" w:rsidRPr="007E4C77" w:rsidRDefault="00B46F44" w:rsidP="00F90FDA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B46F44" w:rsidRPr="007E4C77" w:rsidRDefault="00B46F44" w:rsidP="00F90FDA"/>
              </w:tc>
            </w:tr>
            <w:tr w:rsidR="00B46F44" w:rsidRPr="00D53B80" w:rsidTr="00F90FDA">
              <w:trPr>
                <w:trHeight w:val="831"/>
              </w:trPr>
              <w:tc>
                <w:tcPr>
                  <w:tcW w:w="2401" w:type="dxa"/>
                </w:tcPr>
                <w:p w:rsidR="00B46F44" w:rsidRPr="007E4C77" w:rsidRDefault="00B46F44" w:rsidP="00F90FDA">
                  <w:r w:rsidRPr="007E4C77">
                    <w:t>Место проведения собрания:</w:t>
                  </w:r>
                </w:p>
                <w:p w:rsidR="00B46F44" w:rsidRPr="007E4C77" w:rsidRDefault="00B46F44" w:rsidP="00F90FDA"/>
              </w:tc>
              <w:tc>
                <w:tcPr>
                  <w:tcW w:w="7373" w:type="dxa"/>
                </w:tcPr>
                <w:p w:rsidR="00B46F44" w:rsidRPr="007E4C77" w:rsidRDefault="00B46F44" w:rsidP="00AF4292"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17</w:t>
                  </w:r>
                  <w:r w:rsidRPr="007E4C77">
                    <w:t>.</w:t>
                  </w:r>
                  <w:r>
                    <w:t>15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край. Смоленский район,</w:t>
                  </w:r>
                  <w:r>
                    <w:rPr>
                      <w:b/>
                    </w:rPr>
                    <w:t xml:space="preserve"> </w:t>
                  </w:r>
                  <w:r w:rsidRPr="00AF4292">
                    <w:t>с. Иконниково</w:t>
                  </w:r>
                  <w:r>
                    <w:t xml:space="preserve"> ,</w:t>
                  </w:r>
                  <w:r w:rsidRPr="007E4C77">
                    <w:t xml:space="preserve">  </w:t>
                  </w:r>
                  <w:r>
                    <w:t>возле магазина.</w:t>
                  </w:r>
                </w:p>
              </w:tc>
            </w:tr>
            <w:tr w:rsidR="00B46F44" w:rsidRPr="00D53B80" w:rsidTr="00F90FDA">
              <w:trPr>
                <w:trHeight w:val="88"/>
              </w:trPr>
              <w:tc>
                <w:tcPr>
                  <w:tcW w:w="2401" w:type="dxa"/>
                </w:tcPr>
                <w:p w:rsidR="00B46F44" w:rsidRPr="00D53B80" w:rsidRDefault="00B46F44" w:rsidP="00F90FDA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B46F44" w:rsidRPr="00D53B80" w:rsidRDefault="00B46F44" w:rsidP="00F90FDA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>жители 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B46F44" w:rsidRPr="00D53B80" w:rsidRDefault="00B46F44" w:rsidP="00F90FDA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B46F44" w:rsidRDefault="00B46F44" w:rsidP="00F90FDA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</w:t>
                  </w:r>
                </w:p>
                <w:p w:rsidR="00B46F44" w:rsidRPr="00D53B80" w:rsidRDefault="00B46F44" w:rsidP="00F90FDA">
                  <w:pPr>
                    <w:adjustRightInd w:val="0"/>
                    <w:ind w:firstLine="540"/>
                  </w:pPr>
                </w:p>
                <w:p w:rsidR="00B46F44" w:rsidRPr="00D53B80" w:rsidRDefault="00B46F44" w:rsidP="00F90FDA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>
                    <w:t>3</w:t>
                  </w:r>
                  <w:r w:rsidRPr="004C5DCF">
                    <w:t xml:space="preserve"> человек</w:t>
                  </w:r>
                  <w:r>
                    <w:t>а</w:t>
                  </w:r>
                  <w:r w:rsidRPr="004C5DCF">
                    <w:t>.</w:t>
                  </w:r>
                </w:p>
                <w:p w:rsidR="00B46F44" w:rsidRPr="00D53B80" w:rsidRDefault="00B46F44" w:rsidP="00F90FDA">
                  <w:pPr>
                    <w:adjustRightInd w:val="0"/>
                    <w:ind w:firstLine="540"/>
                  </w:pPr>
                </w:p>
              </w:tc>
            </w:tr>
          </w:tbl>
          <w:p w:rsidR="00B46F44" w:rsidRPr="008B185B" w:rsidRDefault="00B46F44" w:rsidP="00C85FA2">
            <w:pPr>
              <w:jc w:val="both"/>
            </w:pPr>
            <w:r w:rsidRPr="00D53B80">
              <w:t xml:space="preserve">Председательствующий – </w:t>
            </w:r>
            <w:r>
              <w:t xml:space="preserve">Бобровских Сергей Георгиевич, </w:t>
            </w:r>
            <w:r w:rsidRPr="008B185B">
              <w:t>начальник отдела по архитектуре и строительству Управления ЖКХ, строительства, архитектуры и газификации Смоленского района.</w:t>
            </w:r>
          </w:p>
          <w:p w:rsidR="00B46F44" w:rsidRPr="00D53B80" w:rsidRDefault="00B46F44" w:rsidP="00C85FA2">
            <w:pPr>
              <w:jc w:val="both"/>
            </w:pPr>
            <w:r w:rsidRPr="008B185B">
              <w:t>Секретарь – Матвейчук Елена Вениаминовна, главный специалист Управления ЖКХ, строительства, архитектуры и газификации.</w:t>
            </w:r>
          </w:p>
          <w:p w:rsidR="00B46F44" w:rsidRPr="00BA2B8E" w:rsidRDefault="00B46F44" w:rsidP="00C85FA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BA2B8E">
              <w:rPr>
                <w:b/>
                <w:color w:val="000000"/>
              </w:rPr>
              <w:t>Председательствующий:</w:t>
            </w:r>
          </w:p>
          <w:p w:rsidR="00B46F44" w:rsidRPr="00BA2B8E" w:rsidRDefault="00B46F44" w:rsidP="00C85FA2">
            <w:pPr>
              <w:spacing w:before="100" w:beforeAutospacing="1"/>
              <w:jc w:val="both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B46F44" w:rsidRPr="00BA2B8E" w:rsidRDefault="00B46F44" w:rsidP="00C85FA2">
            <w:pPr>
              <w:jc w:val="both"/>
            </w:pPr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B46F44" w:rsidRPr="00BA2B8E" w:rsidRDefault="00B46F44" w:rsidP="00C85FA2">
            <w:pPr>
              <w:pStyle w:val="NormalWeb"/>
              <w:jc w:val="both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B46F44" w:rsidRPr="00BA2B8E" w:rsidRDefault="00B46F44" w:rsidP="00C85FA2">
            <w:pPr>
              <w:pStyle w:val="NormalWeb"/>
              <w:jc w:val="both"/>
            </w:pPr>
            <w:r w:rsidRPr="00BA2B8E">
              <w:t xml:space="preserve">           Публичные слушания назначены распоряжением</w:t>
            </w:r>
            <w:r>
              <w:t xml:space="preserve"> </w:t>
            </w:r>
            <w:r w:rsidRPr="00BA2B8E">
              <w:t xml:space="preserve">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B46F44" w:rsidRPr="00BA2B8E" w:rsidRDefault="00B46F44" w:rsidP="00C85FA2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B46F44" w:rsidRPr="00BA2B8E" w:rsidRDefault="00B46F44" w:rsidP="00C85FA2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B46F44" w:rsidRPr="00BA2B8E" w:rsidRDefault="00B46F44" w:rsidP="00C85FA2">
            <w:pPr>
              <w:jc w:val="both"/>
            </w:pPr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B46F44" w:rsidRPr="00BA2B8E" w:rsidRDefault="00B46F44" w:rsidP="00C85FA2">
            <w:pPr>
              <w:jc w:val="both"/>
            </w:pPr>
          </w:p>
          <w:p w:rsidR="00B46F44" w:rsidRPr="00BA2B8E" w:rsidRDefault="00B46F44" w:rsidP="00C85FA2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B46F44" w:rsidRDefault="00B46F44" w:rsidP="00C85FA2">
            <w:pPr>
              <w:jc w:val="both"/>
            </w:pPr>
          </w:p>
          <w:p w:rsidR="00B46F44" w:rsidRPr="00421522" w:rsidRDefault="00B46F44" w:rsidP="00C85FA2">
            <w:pPr>
              <w:jc w:val="both"/>
            </w:pPr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B46F44" w:rsidRPr="002E08A6" w:rsidRDefault="00B46F44" w:rsidP="00C85FA2">
            <w:pPr>
              <w:spacing w:before="100" w:beforeAutospacing="1"/>
              <w:ind w:firstLine="706"/>
              <w:jc w:val="both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B46F44" w:rsidRPr="002E08A6" w:rsidRDefault="00B46F44" w:rsidP="00C85FA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B46F44" w:rsidRPr="002E08A6" w:rsidRDefault="00B46F44" w:rsidP="00C85FA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B46F44" w:rsidRPr="002E08A6" w:rsidRDefault="00B46F44" w:rsidP="00C85FA2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B46F44" w:rsidRPr="00C11923" w:rsidRDefault="00B46F44" w:rsidP="00C85FA2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46F44" w:rsidRDefault="00B46F44" w:rsidP="00C85FA2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AF691C">
              <w:rPr>
                <w:color w:val="000000"/>
              </w:rPr>
              <w:t xml:space="preserve">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B46F44" w:rsidRPr="00C85FA2" w:rsidRDefault="00B46F44" w:rsidP="00C85FA2">
            <w:pPr>
              <w:spacing w:before="100" w:beforeAutospacing="1"/>
              <w:ind w:firstLine="418"/>
              <w:jc w:val="both"/>
              <w:rPr>
                <w:color w:val="000000"/>
              </w:rPr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B46F44" w:rsidRPr="00AF691C" w:rsidRDefault="00B46F44" w:rsidP="00C85FA2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B46F44" w:rsidRPr="00AF691C" w:rsidRDefault="00B46F44" w:rsidP="00C85FA2">
            <w:pPr>
              <w:widowControl w:val="0"/>
              <w:numPr>
                <w:ilvl w:val="0"/>
                <w:numId w:val="10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B46F44" w:rsidRPr="00AF691C" w:rsidRDefault="00B46F44" w:rsidP="00C85FA2">
            <w:pPr>
              <w:pStyle w:val="NormalWeb"/>
              <w:numPr>
                <w:ilvl w:val="0"/>
                <w:numId w:val="9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B46F44" w:rsidRPr="00AF691C" w:rsidRDefault="00B46F44" w:rsidP="00C85FA2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B46F44" w:rsidRPr="00AF691C" w:rsidRDefault="00B46F44" w:rsidP="00C85FA2">
            <w:pPr>
              <w:pStyle w:val="NormalWeb"/>
              <w:numPr>
                <w:ilvl w:val="0"/>
                <w:numId w:val="9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Разработка мероприятий по улучшению условий проживания населения муниципального образования </w:t>
            </w:r>
            <w:r>
              <w:t>Верх-Обский</w:t>
            </w:r>
            <w:r w:rsidRPr="00AF691C">
              <w:t xml:space="preserve"> сельсовет – оптимизация экологической ситуации, развитие транспортной и инженерной инфраструктур.</w:t>
            </w:r>
          </w:p>
          <w:p w:rsidR="00B46F44" w:rsidRPr="00AF691C" w:rsidRDefault="00B46F44" w:rsidP="00C85FA2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  <w:jc w:val="both"/>
            </w:pPr>
          </w:p>
          <w:p w:rsidR="00B46F44" w:rsidRPr="00AF691C" w:rsidRDefault="00B46F44" w:rsidP="00C85FA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C85FA2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B46F44" w:rsidRPr="00AF691C" w:rsidRDefault="00B46F44" w:rsidP="00C85FA2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B46F44" w:rsidRPr="00AF691C" w:rsidRDefault="00B46F44" w:rsidP="00C85FA2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B46F44" w:rsidRPr="00AF691C" w:rsidRDefault="00B46F44" w:rsidP="00C85FA2">
            <w:pPr>
              <w:ind w:firstLine="418"/>
              <w:jc w:val="both"/>
              <w:rPr>
                <w:highlight w:val="yellow"/>
              </w:rPr>
            </w:pPr>
          </w:p>
          <w:p w:rsidR="00B46F44" w:rsidRPr="00AF691C" w:rsidRDefault="00B46F44" w:rsidP="00C85FA2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B46F44" w:rsidRPr="00AF691C" w:rsidRDefault="00B46F44" w:rsidP="00C85FA2">
            <w:pPr>
              <w:ind w:firstLine="418"/>
              <w:jc w:val="both"/>
              <w:rPr>
                <w:b/>
                <w:i/>
              </w:rPr>
            </w:pPr>
          </w:p>
          <w:p w:rsidR="00B46F44" w:rsidRDefault="00B46F44" w:rsidP="00F90FDA">
            <w:pPr>
              <w:ind w:firstLine="418"/>
              <w:jc w:val="center"/>
              <w:rPr>
                <w:b/>
                <w:i/>
              </w:rPr>
            </w:pPr>
          </w:p>
          <w:p w:rsidR="00B46F44" w:rsidRDefault="00B46F44" w:rsidP="00F90FDA">
            <w:pPr>
              <w:ind w:firstLine="418"/>
              <w:jc w:val="center"/>
              <w:rPr>
                <w:b/>
                <w:i/>
              </w:rPr>
            </w:pPr>
          </w:p>
          <w:p w:rsidR="00B46F44" w:rsidRDefault="00B46F44" w:rsidP="00F90FDA">
            <w:pPr>
              <w:ind w:firstLine="418"/>
              <w:jc w:val="center"/>
              <w:rPr>
                <w:b/>
                <w:i/>
              </w:rPr>
            </w:pPr>
          </w:p>
          <w:p w:rsidR="00B46F44" w:rsidRDefault="00B46F44" w:rsidP="00F90FDA">
            <w:pPr>
              <w:ind w:firstLine="418"/>
              <w:jc w:val="center"/>
              <w:rPr>
                <w:b/>
                <w:i/>
              </w:rPr>
            </w:pPr>
          </w:p>
          <w:p w:rsidR="00B46F44" w:rsidRPr="00AF691C" w:rsidRDefault="00B46F44" w:rsidP="00F90FDA">
            <w:pPr>
              <w:ind w:firstLine="418"/>
              <w:jc w:val="center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B46F44" w:rsidRPr="00AF691C" w:rsidRDefault="00B46F44" w:rsidP="00F90FDA">
            <w:pPr>
              <w:ind w:firstLine="418"/>
              <w:jc w:val="right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B46F44" w:rsidRPr="00AF691C" w:rsidTr="00F90FDA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r w:rsidRPr="00AF691C">
                    <w:t>Исполнитель</w:t>
                  </w:r>
                </w:p>
                <w:p w:rsidR="00B46F44" w:rsidRPr="00AF691C" w:rsidRDefault="00B46F44" w:rsidP="00F90FDA">
                  <w:pPr>
                    <w:ind w:firstLine="418"/>
                    <w:jc w:val="center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B46F44" w:rsidRPr="00AF691C" w:rsidTr="00F90FDA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6F44" w:rsidRPr="00AF691C" w:rsidTr="00F90FDA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F44" w:rsidRPr="00AF691C" w:rsidRDefault="00B46F44" w:rsidP="00F90FDA">
                  <w:pPr>
                    <w:pStyle w:val="a1"/>
                    <w:ind w:right="-108"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6F44" w:rsidRPr="00AF691C" w:rsidTr="00F90FDA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F44" w:rsidRPr="00AF691C" w:rsidRDefault="00B46F44" w:rsidP="00F90FDA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center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ЗАО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F44" w:rsidRPr="00AF691C" w:rsidRDefault="00B46F44" w:rsidP="00F90FDA">
                  <w:pPr>
                    <w:pStyle w:val="a1"/>
                    <w:ind w:firstLine="418"/>
                    <w:jc w:val="left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B46F44" w:rsidRPr="00AF691C" w:rsidRDefault="00B46F44" w:rsidP="00C85FA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bCs/>
              </w:rPr>
            </w:pP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C85FA2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bookmarkStart w:id="2" w:name="_Toc256683289"/>
          </w:p>
          <w:p w:rsidR="00B46F44" w:rsidRPr="00AF691C" w:rsidRDefault="00B46F44" w:rsidP="00C85FA2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B46F44" w:rsidRPr="00AF691C" w:rsidRDefault="00B46F44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B46F44" w:rsidRPr="00AF691C" w:rsidRDefault="00B46F44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B46F44" w:rsidRPr="00AF691C" w:rsidRDefault="00B46F44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right"/>
            </w:pPr>
            <w:r w:rsidRPr="00AF691C">
              <w:rPr>
                <w:iCs/>
              </w:rPr>
              <w:t>Таблица 9.4.</w:t>
            </w: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B46F44" w:rsidRPr="00AF691C" w:rsidTr="00F90FDA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A97B1A"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A97B1A"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B46F44" w:rsidRPr="00AF691C" w:rsidTr="00F90FDA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B46F44" w:rsidRPr="00AF691C" w:rsidRDefault="00B46F44" w:rsidP="00F90FDA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A97B1A"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B46F44" w:rsidRPr="00AF691C" w:rsidTr="00F90FDA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B46F44" w:rsidRPr="00AF691C" w:rsidTr="00F90FDA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B46F44" w:rsidRPr="00AF691C" w:rsidTr="00F90FDA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B46F44" w:rsidRPr="00AF691C" w:rsidTr="00F90FDA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B46F44" w:rsidRPr="00AF691C" w:rsidTr="00F90FDA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B46F44" w:rsidRPr="00AF691C" w:rsidTr="00F90FDA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4439C9"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B46F44" w:rsidRPr="00AF691C" w:rsidRDefault="00B46F44" w:rsidP="00F90FDA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B46F44" w:rsidRPr="00AF691C" w:rsidRDefault="00B46F44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t>*Нормативы регионального проектирования</w:t>
            </w:r>
          </w:p>
          <w:p w:rsidR="00B46F44" w:rsidRPr="00AF691C" w:rsidRDefault="00B46F44" w:rsidP="00F90FDA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r w:rsidRPr="00AF691C">
              <w:rPr>
                <w:u w:val="single"/>
              </w:rPr>
              <w:t>Образование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>фельдшерско-акушерских пунктов</w:t>
            </w:r>
            <w:r>
              <w:t xml:space="preserve"> в с. Катунское и п. Красный Маяк</w:t>
            </w:r>
            <w:r w:rsidRPr="00AF691C">
              <w:t xml:space="preserve"> в </w:t>
            </w:r>
            <w:r>
              <w:t>связи с высоким процентом износа.</w:t>
            </w:r>
            <w:r w:rsidRPr="00AF691C">
              <w:rPr>
                <w:u w:val="single"/>
              </w:rPr>
              <w:t xml:space="preserve">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с.Иконниково – магазина.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с.Катунское предусмотрено строительство кафе, 2 магазинов.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B46F44" w:rsidRPr="00AF691C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B46F44" w:rsidRPr="00AF691C" w:rsidRDefault="00B46F44" w:rsidP="00361C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B46F44" w:rsidRPr="00AF691C" w:rsidRDefault="00B46F44" w:rsidP="00361C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B46F44" w:rsidRPr="00AF691C" w:rsidRDefault="00B46F44" w:rsidP="00361C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B46F44" w:rsidRPr="00AF691C" w:rsidRDefault="00B46F44" w:rsidP="00361C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B46F44" w:rsidRPr="00AF691C" w:rsidRDefault="00B46F44" w:rsidP="00361C8A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B46F44" w:rsidRPr="00AF691C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B46F44" w:rsidRPr="00AF691C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B46F44" w:rsidRPr="00AF691C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B46F44" w:rsidRPr="00AF691C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B46F44" w:rsidRPr="00AF691C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B46F44" w:rsidRDefault="00B46F44" w:rsidP="00361C8A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B46F44" w:rsidRPr="00AF691C" w:rsidRDefault="00B46F44" w:rsidP="00361C8A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B46F44" w:rsidRPr="00AF691C" w:rsidRDefault="00B46F44" w:rsidP="00361C8A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B46F44" w:rsidRPr="00AF691C" w:rsidRDefault="00B46F44" w:rsidP="00361C8A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B46F44" w:rsidRPr="00AF691C" w:rsidRDefault="00B46F44" w:rsidP="00361C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B46F44" w:rsidRPr="00AF691C" w:rsidRDefault="00B46F44" w:rsidP="00361C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B46F44" w:rsidRPr="00AF691C" w:rsidRDefault="00B46F44" w:rsidP="00361C8A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B46F44" w:rsidRPr="00AF691C" w:rsidRDefault="00B46F44" w:rsidP="00361C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B46F44" w:rsidRPr="00AF691C" w:rsidRDefault="00B46F44" w:rsidP="00361C8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B46F44" w:rsidRPr="00AF691C" w:rsidRDefault="00B46F44" w:rsidP="00361C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B46F44" w:rsidRPr="00AF691C" w:rsidRDefault="00B46F44" w:rsidP="00361C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B46F44" w:rsidRPr="00AF691C" w:rsidRDefault="00B46F44" w:rsidP="00361C8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п.Красный Маяк до с.Катунское.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Территории, предлагаемые для нового жилищного строительства, располагаются на юге и севере п.Молочный; западе, юго-западе, юге п.Верх-Обский; юге, востоке п.Кир</w:t>
            </w:r>
            <w:r>
              <w:t>пичный, юге п.Усть-Катунь, юге с</w:t>
            </w:r>
            <w:r w:rsidRPr="00AF691C">
              <w:t>.Иконниково; западе, востоке, юге с.Катунское; юге п.Красный Маяк.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highlight w:val="yellow"/>
              </w:rPr>
            </w:pPr>
          </w:p>
          <w:p w:rsidR="00B46F44" w:rsidRPr="00AB26C2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B46F44" w:rsidRPr="00AF691C" w:rsidRDefault="00B46F44" w:rsidP="00361C8A">
            <w:pPr>
              <w:ind w:left="1429" w:firstLine="418"/>
              <w:contextualSpacing/>
              <w:jc w:val="both"/>
            </w:pPr>
          </w:p>
          <w:p w:rsidR="00B46F44" w:rsidRPr="00AB26C2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B46F44" w:rsidRPr="00AB26C2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B46F44" w:rsidRPr="00AF691C" w:rsidRDefault="00B46F44" w:rsidP="00361C8A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B46F44" w:rsidRPr="008531E8" w:rsidRDefault="00B46F44" w:rsidP="00361C8A">
            <w:pPr>
              <w:pStyle w:val="Heading3"/>
              <w:spacing w:before="0"/>
              <w:ind w:firstLine="418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46F44" w:rsidRPr="008531E8" w:rsidRDefault="00B46F44" w:rsidP="00361C8A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8531E8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8531E8">
              <w:rPr>
                <w:rFonts w:ascii="Times New Roman" w:hAnsi="Times New Roman"/>
                <w:color w:val="auto"/>
              </w:rPr>
              <w:t>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п.Верх-Обский.</w:t>
            </w:r>
          </w:p>
          <w:p w:rsidR="00B46F44" w:rsidRPr="008531E8" w:rsidRDefault="00B46F44" w:rsidP="00361C8A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8531E8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left="1260" w:firstLine="418"/>
              <w:jc w:val="both"/>
            </w:pPr>
          </w:p>
          <w:p w:rsidR="00B46F44" w:rsidRPr="00AF691C" w:rsidRDefault="00B46F44" w:rsidP="00361C8A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B46F44" w:rsidRPr="008531E8" w:rsidRDefault="00B46F44" w:rsidP="00361C8A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8531E8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B46F44" w:rsidRPr="008531E8" w:rsidRDefault="00B46F44" w:rsidP="00361C8A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8531E8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B46F44" w:rsidRPr="00AF691C" w:rsidRDefault="00B46F44" w:rsidP="00361C8A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B46F44" w:rsidRPr="00AF691C" w:rsidRDefault="00B46F44" w:rsidP="00361C8A">
            <w:pPr>
              <w:pStyle w:val="S"/>
              <w:numPr>
                <w:ilvl w:val="0"/>
                <w:numId w:val="0"/>
              </w:numPr>
              <w:ind w:firstLine="418"/>
              <w:jc w:val="both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СТП Смоленского района предусмотрена реконструкция  объектов электроснабжения: ВЛ-10 кВ на Иконниково.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B46F44" w:rsidRPr="008531E8" w:rsidRDefault="00B46F44" w:rsidP="00361C8A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8531E8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B46F44" w:rsidRPr="00AF691C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B46F44" w:rsidRPr="00AF691C" w:rsidRDefault="00B46F44" w:rsidP="00361C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B46F44" w:rsidRPr="00AF691C" w:rsidRDefault="00B46F44" w:rsidP="00361C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B46F44" w:rsidRPr="00AF691C" w:rsidRDefault="00B46F44" w:rsidP="00361C8A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B46F44" w:rsidRPr="00AF691C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 ул. Набережная, Комсомольская п.Усть-Катунь от элеватора;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Мальцева, Черемушки с.Катунское от угольной площадки;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Мальцева с.Катунское от асфальто-бетонного завода;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Сенная, Центральная п.Молочный от фермы КРС;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Лесная, Школьная п.Верх-Обский от зерносклада;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Лесная п.Верх-Обский от пилорамы;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>
              <w:t xml:space="preserve">-ул. Дачная с. </w:t>
            </w:r>
            <w:r w:rsidRPr="00AF691C">
              <w:t>Иконниково от фермы КРС.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ул. Лесная п.Верх-Обский от пилорамы;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ул. Новоселов п.Верх-Обский от склада ГСМ;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-ул. Дачная п.Иконниково от фермы КРС.</w:t>
            </w:r>
          </w:p>
          <w:p w:rsidR="00B46F44" w:rsidRPr="00AF691C" w:rsidRDefault="00B46F44" w:rsidP="00361C8A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46F44" w:rsidRPr="00AF691C" w:rsidRDefault="00B46F44" w:rsidP="00361C8A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B46F44" w:rsidRPr="006772ED" w:rsidRDefault="00B46F44" w:rsidP="00361C8A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B46F44" w:rsidRPr="006772ED" w:rsidRDefault="00B46F44" w:rsidP="00361C8A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B46F44" w:rsidRPr="00AF691C" w:rsidRDefault="00B46F44" w:rsidP="00361C8A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B46F44" w:rsidRPr="00AF691C" w:rsidRDefault="00B46F44" w:rsidP="00361C8A">
            <w:pPr>
              <w:pStyle w:val="BodyTextIndent3"/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B46F44" w:rsidRPr="00AF691C" w:rsidRDefault="00B46F44" w:rsidP="00361C8A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B46F44" w:rsidRPr="00AF691C" w:rsidRDefault="00B46F44" w:rsidP="00361C8A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B46F44" w:rsidRPr="00AF691C" w:rsidRDefault="00B46F44" w:rsidP="00361C8A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B46F44" w:rsidRPr="00AF691C" w:rsidRDefault="00B46F44" w:rsidP="00361C8A">
            <w:pPr>
              <w:pStyle w:val="BodyTextIndent"/>
              <w:numPr>
                <w:ilvl w:val="1"/>
                <w:numId w:val="19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B46F44" w:rsidRPr="00AF691C" w:rsidRDefault="00B46F44" w:rsidP="00361C8A">
            <w:pPr>
              <w:pStyle w:val="BodyTextIndent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п.Красный Маяк и Катунское, на расстоянии от бли</w:t>
            </w:r>
            <w:r>
              <w:t>жайшей застройки 1,3 км; южнее п</w:t>
            </w:r>
            <w:r w:rsidRPr="00AF691C">
              <w:t>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B46F44" w:rsidRPr="00AF691C" w:rsidRDefault="00B46F44" w:rsidP="00361C8A">
            <w:pPr>
              <w:pStyle w:val="BodyTextIndent"/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п.Красный Маяк и </w:t>
            </w:r>
            <w:r>
              <w:t>с.</w:t>
            </w:r>
            <w:r w:rsidRPr="00AF691C">
              <w:t>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B46F44" w:rsidRPr="00AF691C" w:rsidRDefault="00B46F44" w:rsidP="00361C8A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B46F44" w:rsidRPr="008531E8" w:rsidRDefault="00B46F44" w:rsidP="00361C8A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31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B46F44" w:rsidRPr="00AF691C" w:rsidRDefault="00B46F44" w:rsidP="00361C8A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п.Нефтебаза около детского лагеря увеличение рекреационной зоны для базы отдыха;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западнее п.Маточный – конная база отдыха;</w:t>
            </w:r>
          </w:p>
          <w:p w:rsidR="00B46F44" w:rsidRPr="00AF691C" w:rsidRDefault="00B46F44" w:rsidP="00361C8A">
            <w:pPr>
              <w:shd w:val="clear" w:color="auto" w:fill="FFFFFF"/>
              <w:ind w:firstLine="418"/>
              <w:jc w:val="both"/>
            </w:pPr>
            <w:r w:rsidRPr="00AF691C">
              <w:t>- в с.Катунское – базы отдыха, лодочной станции.</w:t>
            </w:r>
          </w:p>
          <w:p w:rsidR="00B46F44" w:rsidRPr="00AF691C" w:rsidRDefault="00B46F44" w:rsidP="00361C8A">
            <w:pPr>
              <w:shd w:val="clear" w:color="auto" w:fill="FFFFFF"/>
              <w:ind w:firstLine="418"/>
              <w:jc w:val="both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B46F44" w:rsidRPr="00AF691C" w:rsidRDefault="00B46F44" w:rsidP="00361C8A">
            <w:pPr>
              <w:shd w:val="clear" w:color="auto" w:fill="FFFFFF"/>
              <w:ind w:firstLine="418"/>
              <w:jc w:val="both"/>
              <w:rPr>
                <w:color w:val="000000"/>
                <w:spacing w:val="-3"/>
              </w:rPr>
            </w:pPr>
          </w:p>
          <w:p w:rsidR="00B46F44" w:rsidRPr="00AF691C" w:rsidRDefault="00B46F44" w:rsidP="00361C8A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B46F44" w:rsidRPr="00AF691C" w:rsidRDefault="00B46F44" w:rsidP="00361C8A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B46F44" w:rsidRPr="008531E8" w:rsidRDefault="00B46F44" w:rsidP="00361C8A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31E8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8531E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8531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B46F44" w:rsidRPr="00AF691C" w:rsidRDefault="00B46F44" w:rsidP="00361C8A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B46F44" w:rsidRPr="008531E8" w:rsidRDefault="00B46F44" w:rsidP="00361C8A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31E8">
              <w:rPr>
                <w:rFonts w:ascii="Times New Roman" w:hAnsi="Times New Roman"/>
                <w:sz w:val="24"/>
                <w:szCs w:val="24"/>
              </w:rPr>
              <w:t>М</w:t>
            </w:r>
            <w:r w:rsidRPr="008531E8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B46F44" w:rsidRPr="00AF691C" w:rsidRDefault="00B46F44" w:rsidP="00361C8A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B46F44" w:rsidRPr="008531E8" w:rsidRDefault="00B46F44" w:rsidP="00361C8A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31E8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B46F44" w:rsidRPr="00AF691C" w:rsidRDefault="00B46F44" w:rsidP="00361C8A">
            <w:pPr>
              <w:ind w:firstLine="418"/>
              <w:jc w:val="both"/>
            </w:pP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B46F44" w:rsidRPr="00AF691C" w:rsidRDefault="00B46F44" w:rsidP="00361C8A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B46F44" w:rsidRPr="00854457" w:rsidRDefault="00B46F44" w:rsidP="00361C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B46F44" w:rsidRDefault="00B46F44" w:rsidP="00361C8A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46F44" w:rsidRDefault="00B46F44" w:rsidP="00361C8A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B46F44" w:rsidRDefault="00B46F44" w:rsidP="00361C8A">
            <w:pPr>
              <w:ind w:firstLine="708"/>
              <w:jc w:val="both"/>
              <w:rPr>
                <w:b/>
                <w:color w:val="000000"/>
              </w:rPr>
            </w:pPr>
          </w:p>
          <w:p w:rsidR="00B46F44" w:rsidRPr="008D45E4" w:rsidRDefault="00B46F44" w:rsidP="00361C8A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B46F44" w:rsidRDefault="00B46F44" w:rsidP="00361C8A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B46F44" w:rsidRPr="00C11923" w:rsidRDefault="00B46F44" w:rsidP="00361C8A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46F44" w:rsidRDefault="00B46F44" w:rsidP="00361C8A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B46F44" w:rsidRPr="00C11923" w:rsidRDefault="00B46F44" w:rsidP="00361C8A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46F44" w:rsidRDefault="00B46F44" w:rsidP="00361C8A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B46F44" w:rsidRDefault="00B46F44" w:rsidP="00361C8A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B46F44" w:rsidRDefault="00B46F44" w:rsidP="00361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3 чел., против - нет, воздержались нет, не голосовали - нет.</w:t>
            </w:r>
          </w:p>
          <w:p w:rsidR="00B46F44" w:rsidRPr="008E00AA" w:rsidRDefault="00B46F44" w:rsidP="00361C8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B46F44" w:rsidRDefault="00B46F44" w:rsidP="00361C8A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B46F44" w:rsidRDefault="00B46F44" w:rsidP="00361C8A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B46F44" w:rsidRDefault="00B46F44" w:rsidP="00361C8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B46F44" w:rsidRPr="00C11923" w:rsidRDefault="00B46F44" w:rsidP="00361C8A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B46F44" w:rsidRDefault="00B46F44" w:rsidP="00361C8A">
            <w:pPr>
              <w:jc w:val="both"/>
              <w:rPr>
                <w:szCs w:val="28"/>
              </w:rPr>
            </w:pPr>
          </w:p>
          <w:p w:rsidR="00B46F44" w:rsidRPr="008E00AA" w:rsidRDefault="00B46F44" w:rsidP="00361C8A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B46F44" w:rsidRPr="008E00AA" w:rsidRDefault="00B46F44" w:rsidP="00361C8A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B46F44" w:rsidRDefault="00B46F44" w:rsidP="00361C8A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B46F44" w:rsidRDefault="00B46F44" w:rsidP="00F90F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6F44" w:rsidRDefault="00B46F44" w:rsidP="00AF4292">
      <w:pPr>
        <w:pStyle w:val="NormalWeb"/>
        <w:jc w:val="center"/>
        <w:rPr>
          <w:b/>
          <w:bCs/>
          <w:sz w:val="28"/>
          <w:szCs w:val="28"/>
        </w:rPr>
      </w:pPr>
    </w:p>
    <w:p w:rsidR="00B46F44" w:rsidRPr="00BC3E9B" w:rsidRDefault="00B46F44" w:rsidP="00AF4292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B46F44" w:rsidRDefault="00B46F44" w:rsidP="00AF4292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B46F44" w:rsidRDefault="00B46F44" w:rsidP="00AF4292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B46F44" w:rsidRDefault="00B46F44" w:rsidP="00AF4292">
      <w:pPr>
        <w:pStyle w:val="NormalWeb"/>
        <w:jc w:val="both"/>
      </w:pPr>
      <w:r>
        <w:t>Алтайский край, Смоленский район,</w:t>
      </w:r>
      <w:r w:rsidRPr="004C5DCF">
        <w:t xml:space="preserve"> </w:t>
      </w:r>
      <w:r w:rsidRPr="00AF4292">
        <w:t>с. Иконниково</w:t>
      </w:r>
      <w:r>
        <w:t>,</w:t>
      </w:r>
      <w:r w:rsidRPr="007E4C77">
        <w:t xml:space="preserve">  </w:t>
      </w:r>
      <w:r>
        <w:t>возле магазина.</w:t>
      </w:r>
    </w:p>
    <w:p w:rsidR="00B46F44" w:rsidRDefault="00B46F44" w:rsidP="00AF4292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 w:rsidRPr="004C5DCF">
        <w:t>31 мая 2017 года</w:t>
      </w:r>
      <w:r>
        <w:t>, 17</w:t>
      </w:r>
      <w:r w:rsidRPr="004C5DCF">
        <w:t>-</w:t>
      </w:r>
      <w:r>
        <w:t>15 часов по местному времени.</w:t>
      </w:r>
    </w:p>
    <w:p w:rsidR="00B46F44" w:rsidRDefault="00B46F44" w:rsidP="00AF4292">
      <w:pPr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B46F44" w:rsidRDefault="00B46F44" w:rsidP="00AF4292"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</w:p>
    <w:p w:rsidR="00B46F44" w:rsidRDefault="00B46F44" w:rsidP="00AF4292">
      <w:pPr>
        <w:jc w:val="center"/>
        <w:rPr>
          <w:b/>
        </w:rPr>
      </w:pPr>
    </w:p>
    <w:p w:rsidR="00B46F44" w:rsidRDefault="00B46F44" w:rsidP="00AF4292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B46F44" w:rsidRDefault="00B46F44" w:rsidP="00AF4292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B46F44" w:rsidRDefault="00B46F44" w:rsidP="00AF4292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B46F44" w:rsidRDefault="00B46F44" w:rsidP="00AF4292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B46F44" w:rsidRDefault="00B46F44" w:rsidP="00AF4292">
      <w:pPr>
        <w:pStyle w:val="NormalWeb"/>
        <w:jc w:val="both"/>
      </w:pPr>
      <w:r>
        <w:t xml:space="preserve">          Одобрить проект </w:t>
      </w:r>
      <w:r w:rsidRPr="002773A5">
        <w:t xml:space="preserve">генерального плана муниципального образования </w:t>
      </w:r>
      <w:r>
        <w:t xml:space="preserve">Верх-Обский </w:t>
      </w:r>
      <w:r w:rsidRPr="002773A5">
        <w:t>сельсовет Смоленского района Алтайского края</w:t>
      </w:r>
      <w:r>
        <w:t>.</w:t>
      </w:r>
    </w:p>
    <w:p w:rsidR="00B46F44" w:rsidRPr="008E00AA" w:rsidRDefault="00B46F44" w:rsidP="00AF429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B46F44" w:rsidRDefault="00B46F44" w:rsidP="00AF4292">
      <w:pPr>
        <w:pStyle w:val="NormalWeb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B46F44" w:rsidRDefault="00B46F44" w:rsidP="00AF4292"/>
    <w:p w:rsidR="00B46F44" w:rsidRDefault="00B46F44"/>
    <w:sectPr w:rsidR="00B46F44" w:rsidSect="00C85FA2">
      <w:footerReference w:type="default" r:id="rId8"/>
      <w:pgSz w:w="11906" w:h="16838"/>
      <w:pgMar w:top="284" w:right="850" w:bottom="540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44" w:rsidRDefault="00B46F44" w:rsidP="00042B47">
      <w:r>
        <w:separator/>
      </w:r>
    </w:p>
  </w:endnote>
  <w:endnote w:type="continuationSeparator" w:id="1">
    <w:p w:rsidR="00B46F44" w:rsidRDefault="00B46F44" w:rsidP="0004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44" w:rsidRDefault="00B46F44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B46F44" w:rsidRDefault="00B46F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44" w:rsidRDefault="00B46F44" w:rsidP="00042B47">
      <w:r>
        <w:separator/>
      </w:r>
    </w:p>
  </w:footnote>
  <w:footnote w:type="continuationSeparator" w:id="1">
    <w:p w:rsidR="00B46F44" w:rsidRDefault="00B46F44" w:rsidP="00042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292"/>
    <w:rsid w:val="000065DA"/>
    <w:rsid w:val="000247E0"/>
    <w:rsid w:val="00042B47"/>
    <w:rsid w:val="0009544C"/>
    <w:rsid w:val="002773A5"/>
    <w:rsid w:val="002E08A6"/>
    <w:rsid w:val="0036089F"/>
    <w:rsid w:val="00361C8A"/>
    <w:rsid w:val="003C18B8"/>
    <w:rsid w:val="003C3C58"/>
    <w:rsid w:val="003C68F7"/>
    <w:rsid w:val="0041744F"/>
    <w:rsid w:val="00421522"/>
    <w:rsid w:val="004439C9"/>
    <w:rsid w:val="00444EED"/>
    <w:rsid w:val="004B0450"/>
    <w:rsid w:val="004C5DCF"/>
    <w:rsid w:val="005D3ABC"/>
    <w:rsid w:val="006640F5"/>
    <w:rsid w:val="006772ED"/>
    <w:rsid w:val="006F1B06"/>
    <w:rsid w:val="00712822"/>
    <w:rsid w:val="007E4C77"/>
    <w:rsid w:val="007F5683"/>
    <w:rsid w:val="008114BD"/>
    <w:rsid w:val="008531E8"/>
    <w:rsid w:val="00854457"/>
    <w:rsid w:val="008B0FC5"/>
    <w:rsid w:val="008B185B"/>
    <w:rsid w:val="008B4157"/>
    <w:rsid w:val="008D21D8"/>
    <w:rsid w:val="008D45E4"/>
    <w:rsid w:val="008E00AA"/>
    <w:rsid w:val="009561AA"/>
    <w:rsid w:val="0098101A"/>
    <w:rsid w:val="00987194"/>
    <w:rsid w:val="00A44156"/>
    <w:rsid w:val="00A97B1A"/>
    <w:rsid w:val="00AB26C2"/>
    <w:rsid w:val="00AF4292"/>
    <w:rsid w:val="00AF691C"/>
    <w:rsid w:val="00B40AAA"/>
    <w:rsid w:val="00B46F44"/>
    <w:rsid w:val="00B920E5"/>
    <w:rsid w:val="00BA2B8E"/>
    <w:rsid w:val="00BC3E9B"/>
    <w:rsid w:val="00BF615E"/>
    <w:rsid w:val="00C11923"/>
    <w:rsid w:val="00C17409"/>
    <w:rsid w:val="00C85FA2"/>
    <w:rsid w:val="00D279A5"/>
    <w:rsid w:val="00D35305"/>
    <w:rsid w:val="00D53B80"/>
    <w:rsid w:val="00D95A02"/>
    <w:rsid w:val="00ED54F4"/>
    <w:rsid w:val="00EE2850"/>
    <w:rsid w:val="00F90FDA"/>
    <w:rsid w:val="00F9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42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4292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29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29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4292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429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F4292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AF4292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AF429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F4292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42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F42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AF4292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AF4292"/>
    <w:rPr>
      <w:rFonts w:ascii="Arial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F42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AF42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AF4292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AF4292"/>
  </w:style>
  <w:style w:type="paragraph" w:styleId="BodyTextIndent3">
    <w:name w:val="Body Text Indent 3"/>
    <w:aliases w:val="дисер"/>
    <w:basedOn w:val="Normal"/>
    <w:link w:val="BodyTextIndent3Char"/>
    <w:uiPriority w:val="99"/>
    <w:rsid w:val="00AF42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AF4292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F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2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17</Pages>
  <Words>7279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9</cp:revision>
  <dcterms:created xsi:type="dcterms:W3CDTF">2017-06-11T15:58:00Z</dcterms:created>
  <dcterms:modified xsi:type="dcterms:W3CDTF">2017-06-13T09:00:00Z</dcterms:modified>
</cp:coreProperties>
</file>