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 xml:space="preserve">о </w:t>
      </w:r>
      <w:r w:rsidRPr="008A79B7">
        <w:rPr>
          <w:b/>
          <w:sz w:val="24"/>
          <w:szCs w:val="24"/>
        </w:rPr>
        <w:t>проведении</w:t>
      </w:r>
      <w:r w:rsidR="00650107" w:rsidRPr="008A79B7">
        <w:rPr>
          <w:b/>
          <w:sz w:val="24"/>
          <w:szCs w:val="24"/>
        </w:rPr>
        <w:t xml:space="preserve"> </w:t>
      </w:r>
      <w:r w:rsidR="00DA6602">
        <w:rPr>
          <w:b/>
          <w:sz w:val="24"/>
          <w:szCs w:val="24"/>
        </w:rPr>
        <w:t>08</w:t>
      </w:r>
      <w:r w:rsidR="00650107" w:rsidRPr="008A79B7">
        <w:rPr>
          <w:b/>
          <w:sz w:val="24"/>
          <w:szCs w:val="24"/>
        </w:rPr>
        <w:t xml:space="preserve"> </w:t>
      </w:r>
      <w:r w:rsidR="00DA6602">
        <w:rPr>
          <w:b/>
          <w:sz w:val="24"/>
          <w:szCs w:val="24"/>
        </w:rPr>
        <w:t>сентября</w:t>
      </w:r>
      <w:r w:rsidR="00650107" w:rsidRPr="008A79B7">
        <w:rPr>
          <w:b/>
          <w:sz w:val="24"/>
          <w:szCs w:val="24"/>
        </w:rPr>
        <w:t xml:space="preserve"> 20</w:t>
      </w:r>
      <w:r w:rsidR="00CE4BEB" w:rsidRPr="008A79B7">
        <w:rPr>
          <w:b/>
          <w:sz w:val="24"/>
          <w:szCs w:val="24"/>
        </w:rPr>
        <w:t>2</w:t>
      </w:r>
      <w:r w:rsidR="002B334D" w:rsidRPr="008A79B7">
        <w:rPr>
          <w:b/>
          <w:sz w:val="24"/>
          <w:szCs w:val="24"/>
        </w:rPr>
        <w:t>3</w:t>
      </w:r>
      <w:r w:rsidR="00650107" w:rsidRPr="002B334D">
        <w:rPr>
          <w:b/>
          <w:sz w:val="24"/>
          <w:szCs w:val="24"/>
        </w:rPr>
        <w:t xml:space="preserve"> года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DA6602">
        <w:rPr>
          <w:sz w:val="24"/>
          <w:szCs w:val="24"/>
        </w:rPr>
        <w:t>08</w:t>
      </w:r>
      <w:r w:rsidR="00F33A2B" w:rsidRPr="002B334D">
        <w:rPr>
          <w:sz w:val="24"/>
          <w:szCs w:val="24"/>
        </w:rPr>
        <w:t xml:space="preserve"> </w:t>
      </w:r>
      <w:r w:rsidR="00DA6602">
        <w:rPr>
          <w:sz w:val="24"/>
          <w:szCs w:val="24"/>
        </w:rPr>
        <w:t>сентября</w:t>
      </w:r>
      <w:r w:rsidR="00F33A2B" w:rsidRPr="002B334D">
        <w:rPr>
          <w:sz w:val="24"/>
          <w:szCs w:val="24"/>
        </w:rPr>
        <w:t xml:space="preserve"> </w:t>
      </w:r>
      <w:r w:rsidR="00FC1B8C" w:rsidRPr="002B334D">
        <w:rPr>
          <w:sz w:val="24"/>
          <w:szCs w:val="24"/>
        </w:rPr>
        <w:t>20</w:t>
      </w:r>
      <w:r w:rsidR="00CE4BEB" w:rsidRPr="002B334D">
        <w:rPr>
          <w:sz w:val="24"/>
          <w:szCs w:val="24"/>
        </w:rPr>
        <w:t>2</w:t>
      </w:r>
      <w:r w:rsidR="002B334D" w:rsidRPr="002B334D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13A2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 w:rsidR="00113A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школа интернат, назначение: жилое. Площадь: общая 3801,7 кв.м. Количество этажей: 3. Кадастровый номер: 22:41:040529:25,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гараж, назначение: нежилое. Площадь: общая 188,4 кв.м. Этажность: 1. Кадастровый номер: 22:41:040529:31,</w:t>
            </w:r>
          </w:p>
          <w:p w:rsidR="00B4325D" w:rsidRP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котельная, назначение: нежилое. Площадь: общая 137,0 кв.м. Этажность: 1. Када</w:t>
            </w:r>
            <w:r>
              <w:rPr>
                <w:sz w:val="24"/>
                <w:szCs w:val="24"/>
              </w:rPr>
              <w:t>стровый номер: 22:41:040529:29,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здание овощехранилище, назначение: нежилое. Площадь: общая 86,2 кв.м. Количество этажей: 1, в том числе подземных этажей: 1. Кадастровый номер: 22:41:040529:33, 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здание подстанция, назначение: нежилое. Площадь: общая 43,5 кв.м. Количество этажей: 1, в том числе подземных этажей: 0. Кадастровый номер: 22:41:040529:32, </w:t>
            </w:r>
          </w:p>
          <w:p w:rsidR="007C6E09" w:rsidRP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с земельным участком: кадастровый номер 22:41:040529:7, площадью 31781 кв.м., категория земель — земли населенных пунктов, адрес (местоположение): </w:t>
            </w:r>
            <w:r w:rsidRPr="00B4325D">
              <w:rPr>
                <w:sz w:val="24"/>
                <w:szCs w:val="24"/>
              </w:rPr>
              <w:lastRenderedPageBreak/>
              <w:t>Россия, Алтайский край, Смоленский район, с. Сычевка, ул. Центральная, 36, вид разрешенного использования: под общественную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113A29" w:rsidRDefault="00113A29" w:rsidP="0027032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lastRenderedPageBreak/>
              <w:t xml:space="preserve">Алтайский край, Смоленский район, </w:t>
            </w:r>
            <w:r w:rsidR="00B4325D" w:rsidRPr="00B4325D">
              <w:rPr>
                <w:sz w:val="24"/>
                <w:szCs w:val="24"/>
              </w:rPr>
              <w:t>с. Сычевка, ул. Центральная, дом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9" w:rsidRDefault="00B4325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2 010 570</w:t>
            </w:r>
            <w:r w:rsidR="00113A29">
              <w:rPr>
                <w:sz w:val="24"/>
                <w:szCs w:val="24"/>
              </w:rPr>
              <w:t xml:space="preserve">,00 </w:t>
            </w:r>
          </w:p>
          <w:p w:rsidR="001571E2" w:rsidRPr="005852DB" w:rsidRDefault="00113A29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том числе здани</w:t>
            </w:r>
            <w:r w:rsidR="00B4325D">
              <w:rPr>
                <w:sz w:val="24"/>
                <w:szCs w:val="24"/>
              </w:rPr>
              <w:t>я – 612 206</w:t>
            </w:r>
            <w:r>
              <w:rPr>
                <w:sz w:val="24"/>
                <w:szCs w:val="24"/>
              </w:rPr>
              <w:t xml:space="preserve">,00, земельный участок – </w:t>
            </w:r>
            <w:r w:rsidR="00B4325D">
              <w:rPr>
                <w:sz w:val="24"/>
                <w:szCs w:val="24"/>
              </w:rPr>
              <w:t>1 398 364</w:t>
            </w:r>
            <w:r>
              <w:rPr>
                <w:sz w:val="24"/>
                <w:szCs w:val="24"/>
              </w:rPr>
              <w:t>,00)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B4325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201 057,00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B4325D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DA6602" w:rsidP="00DA660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22</w:t>
            </w:r>
            <w:r w:rsidR="002B334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B334D">
              <w:rPr>
                <w:sz w:val="24"/>
                <w:szCs w:val="24"/>
              </w:rPr>
              <w:t>.2022 несостоявшийся, в связи с отсутствием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113A29">
        <w:rPr>
          <w:sz w:val="24"/>
          <w:szCs w:val="24"/>
        </w:rPr>
        <w:t>14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63CB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63579D">
        <w:rPr>
          <w:sz w:val="24"/>
          <w:szCs w:val="24"/>
        </w:rPr>
        <w:t>3</w:t>
      </w:r>
      <w:r w:rsidR="00113A29">
        <w:rPr>
          <w:sz w:val="24"/>
          <w:szCs w:val="24"/>
        </w:rPr>
        <w:t>2</w:t>
      </w:r>
      <w:r w:rsidR="00B4325D">
        <w:rPr>
          <w:sz w:val="24"/>
          <w:szCs w:val="24"/>
        </w:rPr>
        <w:t>5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DA6602">
        <w:rPr>
          <w:szCs w:val="24"/>
        </w:rPr>
        <w:t xml:space="preserve"> </w:t>
      </w:r>
      <w:r w:rsidR="00DA6602" w:rsidRPr="00DA6602">
        <w:rPr>
          <w:szCs w:val="24"/>
        </w:rPr>
        <w:t>08</w:t>
      </w:r>
      <w:r w:rsidR="00C0769F" w:rsidRPr="00C0769F">
        <w:rPr>
          <w:szCs w:val="24"/>
        </w:rPr>
        <w:t xml:space="preserve"> </w:t>
      </w:r>
      <w:r w:rsidR="00DA6602">
        <w:rPr>
          <w:szCs w:val="24"/>
        </w:rPr>
        <w:t>августа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DA6602">
        <w:rPr>
          <w:szCs w:val="24"/>
        </w:rPr>
        <w:t>02</w:t>
      </w:r>
      <w:r w:rsidR="00CE4BEB" w:rsidRPr="00C0769F">
        <w:rPr>
          <w:szCs w:val="24"/>
        </w:rPr>
        <w:t xml:space="preserve"> </w:t>
      </w:r>
      <w:r w:rsidR="00DA6602">
        <w:rPr>
          <w:szCs w:val="24"/>
        </w:rPr>
        <w:t>сентября</w:t>
      </w:r>
      <w:r w:rsidR="002B334D">
        <w:rPr>
          <w:szCs w:val="24"/>
        </w:rPr>
        <w:t xml:space="preserve">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DA6602">
        <w:rPr>
          <w:sz w:val="24"/>
          <w:szCs w:val="24"/>
        </w:rPr>
        <w:t>08</w:t>
      </w:r>
      <w:r w:rsidR="00F33A2B" w:rsidRPr="00C0769F">
        <w:rPr>
          <w:sz w:val="24"/>
          <w:szCs w:val="24"/>
        </w:rPr>
        <w:t xml:space="preserve"> </w:t>
      </w:r>
      <w:r w:rsidR="00DA6602">
        <w:rPr>
          <w:sz w:val="24"/>
          <w:szCs w:val="24"/>
        </w:rPr>
        <w:t>августа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по </w:t>
      </w:r>
      <w:r w:rsidR="00DA6602">
        <w:rPr>
          <w:sz w:val="24"/>
          <w:szCs w:val="24"/>
        </w:rPr>
        <w:t>0</w:t>
      </w:r>
      <w:r w:rsidR="008A79B7">
        <w:rPr>
          <w:sz w:val="24"/>
          <w:szCs w:val="24"/>
        </w:rPr>
        <w:t>2</w:t>
      </w:r>
      <w:r w:rsidR="00F33A2B" w:rsidRPr="00C0769F">
        <w:rPr>
          <w:sz w:val="24"/>
          <w:szCs w:val="24"/>
        </w:rPr>
        <w:t xml:space="preserve"> </w:t>
      </w:r>
      <w:r w:rsidR="00DA6602">
        <w:rPr>
          <w:sz w:val="24"/>
          <w:szCs w:val="24"/>
        </w:rPr>
        <w:t>сентября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DA6602">
        <w:rPr>
          <w:sz w:val="24"/>
          <w:szCs w:val="24"/>
        </w:rPr>
        <w:t xml:space="preserve"> </w:t>
      </w:r>
      <w:r w:rsidR="00DA6602" w:rsidRPr="00DA6602">
        <w:rPr>
          <w:sz w:val="24"/>
          <w:szCs w:val="24"/>
        </w:rPr>
        <w:t>06</w:t>
      </w:r>
      <w:r w:rsidR="00F33A2B" w:rsidRPr="00C0769F">
        <w:rPr>
          <w:sz w:val="24"/>
          <w:szCs w:val="24"/>
        </w:rPr>
        <w:t xml:space="preserve"> </w:t>
      </w:r>
      <w:r w:rsidR="00DA6602">
        <w:rPr>
          <w:sz w:val="24"/>
          <w:szCs w:val="24"/>
        </w:rPr>
        <w:t>сентября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DA6602" w:rsidRPr="00DA6602">
        <w:rPr>
          <w:sz w:val="24"/>
          <w:szCs w:val="24"/>
        </w:rPr>
        <w:t>08</w:t>
      </w:r>
      <w:r w:rsidR="00F33A2B" w:rsidRPr="00DA6602">
        <w:rPr>
          <w:bCs/>
          <w:sz w:val="24"/>
          <w:szCs w:val="24"/>
        </w:rPr>
        <w:t xml:space="preserve"> </w:t>
      </w:r>
      <w:r w:rsidR="00DA6602">
        <w:rPr>
          <w:bCs/>
          <w:sz w:val="24"/>
          <w:szCs w:val="24"/>
        </w:rPr>
        <w:t>сентября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</w:t>
      </w:r>
      <w:r w:rsidRPr="00EC7995">
        <w:rPr>
          <w:sz w:val="24"/>
          <w:szCs w:val="24"/>
        </w:rPr>
        <w:lastRenderedPageBreak/>
        <w:t>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</w:t>
      </w:r>
      <w:r w:rsidRPr="00EC7995">
        <w:rPr>
          <w:sz w:val="24"/>
          <w:szCs w:val="24"/>
        </w:rPr>
        <w:lastRenderedPageBreak/>
        <w:t>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lastRenderedPageBreak/>
        <w:t>В течение одного часа с момента подписания протокола об</w:t>
      </w:r>
      <w:r w:rsidR="00341DC1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BD" w:rsidRDefault="00925DBD" w:rsidP="006948B5">
      <w:r>
        <w:separator/>
      </w:r>
    </w:p>
  </w:endnote>
  <w:endnote w:type="continuationSeparator" w:id="1">
    <w:p w:rsidR="00925DBD" w:rsidRDefault="00925DBD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BD" w:rsidRDefault="00925DBD" w:rsidP="006948B5">
      <w:r>
        <w:separator/>
      </w:r>
    </w:p>
  </w:footnote>
  <w:footnote w:type="continuationSeparator" w:id="1">
    <w:p w:rsidR="00925DBD" w:rsidRDefault="00925DBD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1644F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C3102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29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87BB0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5395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41DC1"/>
    <w:rsid w:val="003523D9"/>
    <w:rsid w:val="0036253A"/>
    <w:rsid w:val="003626F7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1720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A79B7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5DB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325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4BC5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D74DF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26E9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A6602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63EB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108</cp:revision>
  <cp:lastPrinted>2023-08-04T09:06:00Z</cp:lastPrinted>
  <dcterms:created xsi:type="dcterms:W3CDTF">2019-09-24T09:47:00Z</dcterms:created>
  <dcterms:modified xsi:type="dcterms:W3CDTF">2023-08-04T09:06:00Z</dcterms:modified>
</cp:coreProperties>
</file>