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>
        <w:rPr>
          <w:b/>
        </w:rPr>
        <w:t xml:space="preserve">: </w:t>
      </w:r>
      <w:r w:rsidRPr="00496987">
        <w:t xml:space="preserve">Администрация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Pr="00496987">
        <w:rPr>
          <w:b/>
        </w:rPr>
        <w:t>рганизатор аукциона:</w:t>
      </w:r>
      <w:r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D74712">
      <w:pPr>
        <w:widowControl w:val="0"/>
        <w:tabs>
          <w:tab w:val="left" w:pos="900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D74712">
        <w:t>2</w:t>
      </w:r>
      <w:r w:rsidR="006C1360">
        <w:t>8</w:t>
      </w:r>
      <w:r w:rsidR="007825A7" w:rsidRPr="007825A7">
        <w:t xml:space="preserve"> </w:t>
      </w:r>
      <w:r w:rsidR="006C1360">
        <w:t>января</w:t>
      </w:r>
      <w:r w:rsidR="007825A7">
        <w:t xml:space="preserve"> </w:t>
      </w:r>
      <w:r w:rsidRPr="00496987">
        <w:t>202</w:t>
      </w:r>
      <w:r w:rsidR="006C1360">
        <w:t>5</w:t>
      </w:r>
      <w:r w:rsidRPr="00496987">
        <w:t xml:space="preserve"> года №</w:t>
      </w:r>
      <w:r w:rsidR="006C1360">
        <w:t>6</w:t>
      </w:r>
      <w:r w:rsidR="00D229EF">
        <w:t>8</w:t>
      </w:r>
      <w:r w:rsidR="00D74712">
        <w:t>.</w:t>
      </w:r>
    </w:p>
    <w:p w:rsidR="00D74712" w:rsidRPr="00496987" w:rsidRDefault="00D74712" w:rsidP="008565D9">
      <w:pPr>
        <w:ind w:firstLine="709"/>
        <w:contextualSpacing/>
        <w:jc w:val="both"/>
      </w:pPr>
    </w:p>
    <w:p w:rsidR="008565D9" w:rsidRPr="00496987" w:rsidRDefault="00946202" w:rsidP="00D74712">
      <w:pPr>
        <w:ind w:firstLine="567"/>
        <w:contextualSpacing/>
        <w:jc w:val="center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D229EF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</w:t>
            </w:r>
            <w:r w:rsidR="006E1B24" w:rsidRPr="00D229EF">
              <w:rPr>
                <w:color w:val="000000"/>
              </w:rPr>
              <w:t>:</w:t>
            </w:r>
          </w:p>
          <w:p w:rsidR="008565D9" w:rsidRPr="00D229EF" w:rsidRDefault="00D229EF" w:rsidP="00602AA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229EF">
              <w:t>земельный участок с кадастровым номером 22:41:011401:453, площадью 47188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Верх - Обский сельсовет, северная окраина п. Красный Маяк, цель использования: для сельскохозяйственного использования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D229EF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t>4577,24 руб. (Четыре тысячи пятьсот семьдесят семь рублей двадцать четыре копейки)</w:t>
            </w:r>
            <w:r w:rsidR="00D74712" w:rsidRPr="00D229EF">
              <w:t>.</w:t>
            </w:r>
            <w:r w:rsidR="008565D9" w:rsidRPr="00D74712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D74712" w:rsidRDefault="00D74712" w:rsidP="00894FB7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894FB7" w:rsidRDefault="00894FB7" w:rsidP="005C5F27">
      <w:pPr>
        <w:autoSpaceDE w:val="0"/>
        <w:autoSpaceDN w:val="0"/>
        <w:adjustRightInd w:val="0"/>
        <w:ind w:firstLine="567"/>
        <w:jc w:val="both"/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</w:t>
      </w:r>
      <w:r w:rsidR="00C41912" w:rsidRPr="00C41912">
        <w:rPr>
          <w:lang w:eastAsia="en-US"/>
        </w:rPr>
        <w:t>не установлены.</w:t>
      </w:r>
    </w:p>
    <w:p w:rsidR="00EB1471" w:rsidRPr="00EB1471" w:rsidRDefault="00EB1471" w:rsidP="00EB1471">
      <w:pPr>
        <w:autoSpaceDE w:val="0"/>
        <w:autoSpaceDN w:val="0"/>
        <w:adjustRightInd w:val="0"/>
        <w:jc w:val="both"/>
        <w:rPr>
          <w:lang w:eastAsia="en-US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D7471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D7471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C41912" w:rsidRDefault="00C41912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</w:t>
      </w:r>
      <w:r w:rsidR="00D229EF">
        <w:rPr>
          <w:b/>
        </w:rPr>
        <w:t>04</w:t>
      </w:r>
      <w:r w:rsidRPr="00131D5B">
        <w:rPr>
          <w:b/>
        </w:rPr>
        <w:t xml:space="preserve">» </w:t>
      </w:r>
      <w:r w:rsidR="00D229EF">
        <w:rPr>
          <w:b/>
        </w:rPr>
        <w:t>февраля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D229EF">
        <w:rPr>
          <w:b/>
        </w:rPr>
        <w:t>03</w:t>
      </w:r>
      <w:r w:rsidRPr="00131D5B">
        <w:rPr>
          <w:b/>
        </w:rPr>
        <w:t xml:space="preserve">» </w:t>
      </w:r>
      <w:r w:rsidR="00D229EF">
        <w:rPr>
          <w:b/>
        </w:rPr>
        <w:t>марта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D229EF">
        <w:rPr>
          <w:b/>
        </w:rPr>
        <w:t>04</w:t>
      </w:r>
      <w:r w:rsidRPr="00496987">
        <w:rPr>
          <w:b/>
        </w:rPr>
        <w:t>»</w:t>
      </w:r>
      <w:r w:rsidR="00131D5B">
        <w:rPr>
          <w:b/>
        </w:rPr>
        <w:t xml:space="preserve"> </w:t>
      </w:r>
      <w:r w:rsidR="00D229EF">
        <w:rPr>
          <w:b/>
        </w:rPr>
        <w:t>марта</w:t>
      </w:r>
      <w:r w:rsidRPr="00496987">
        <w:rPr>
          <w:b/>
        </w:rPr>
        <w:t xml:space="preserve"> 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мин. «</w:t>
      </w:r>
      <w:r w:rsidR="006C1360">
        <w:rPr>
          <w:b/>
        </w:rPr>
        <w:t>0</w:t>
      </w:r>
      <w:r w:rsidR="00D229EF">
        <w:rPr>
          <w:b/>
        </w:rPr>
        <w:t>6</w:t>
      </w:r>
      <w:r w:rsidRPr="00496987">
        <w:rPr>
          <w:b/>
        </w:rPr>
        <w:t xml:space="preserve">» </w:t>
      </w:r>
      <w:r w:rsidR="006C1360">
        <w:rPr>
          <w:b/>
        </w:rPr>
        <w:t xml:space="preserve">марта </w:t>
      </w:r>
      <w:r w:rsidRPr="00496987">
        <w:rPr>
          <w:b/>
        </w:rPr>
        <w:t>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lastRenderedPageBreak/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5B217A" w:rsidRPr="00496987" w:rsidRDefault="005B217A" w:rsidP="005B217A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при заключении дого</w:t>
      </w:r>
      <w:r w:rsidR="00D04282">
        <w:rPr>
          <w:rFonts w:eastAsia="Calibri"/>
          <w:bCs/>
        </w:rPr>
        <w:t>вора аренды земельного участка.</w:t>
      </w:r>
    </w:p>
    <w:p w:rsidR="00D04282" w:rsidRPr="00496987" w:rsidRDefault="00D0428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4385"/>
        <w:gridCol w:w="1714"/>
        <w:gridCol w:w="1057"/>
        <w:gridCol w:w="1621"/>
      </w:tblGrid>
      <w:tr w:rsidR="00602AAB" w:rsidRPr="00496987" w:rsidTr="00D229EF">
        <w:trPr>
          <w:jc w:val="center"/>
        </w:trPr>
        <w:tc>
          <w:tcPr>
            <w:tcW w:w="71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385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14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5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62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D229EF" w:rsidRPr="00496987" w:rsidTr="00D229EF">
        <w:trPr>
          <w:jc w:val="center"/>
        </w:trPr>
        <w:tc>
          <w:tcPr>
            <w:tcW w:w="716" w:type="dxa"/>
          </w:tcPr>
          <w:p w:rsidR="00D229EF" w:rsidRPr="00496987" w:rsidRDefault="00D229EF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385" w:type="dxa"/>
          </w:tcPr>
          <w:p w:rsidR="00D229EF" w:rsidRPr="00D229EF" w:rsidRDefault="00D229EF" w:rsidP="00942A2C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1:</w:t>
            </w:r>
          </w:p>
          <w:p w:rsidR="00D229EF" w:rsidRPr="00D229EF" w:rsidRDefault="00D229EF" w:rsidP="00942A2C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229EF">
              <w:t>земельный участок с кадастровым номером 22:41:011401:453, площадью 47188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Верх - Обский сельсовет, северная окраина п. Красный Маяк, цель использования: для сельскохозяйственного использования</w:t>
            </w:r>
          </w:p>
        </w:tc>
        <w:tc>
          <w:tcPr>
            <w:tcW w:w="1714" w:type="dxa"/>
          </w:tcPr>
          <w:p w:rsidR="00D229EF" w:rsidRPr="00094B61" w:rsidRDefault="00D229EF" w:rsidP="00942A2C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t>4577,24 руб. (Четыре тысячи пятьсот семьдесят семь рублей двадцать четыре копейки).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057" w:type="dxa"/>
          </w:tcPr>
          <w:p w:rsidR="00D229EF" w:rsidRPr="00496987" w:rsidRDefault="00D229EF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621" w:type="dxa"/>
          </w:tcPr>
          <w:p w:rsidR="00D229EF" w:rsidRPr="00496987" w:rsidRDefault="00D229EF" w:rsidP="00D229EF">
            <w:pPr>
              <w:tabs>
                <w:tab w:val="left" w:pos="5488"/>
              </w:tabs>
              <w:contextualSpacing/>
              <w:jc w:val="center"/>
            </w:pPr>
            <w:r w:rsidRPr="00D229EF">
              <w:t>915,45</w:t>
            </w:r>
            <w:r>
              <w:rPr>
                <w:sz w:val="28"/>
                <w:szCs w:val="28"/>
              </w:rPr>
              <w:t xml:space="preserve"> </w:t>
            </w:r>
            <w:r w:rsidRPr="00C16F18">
              <w:t>рублей</w:t>
            </w:r>
            <w:r w:rsidRPr="00496987">
              <w:t xml:space="preserve"> (</w:t>
            </w:r>
            <w:r>
              <w:t xml:space="preserve">девятьсот пятнадцать </w:t>
            </w:r>
            <w:r w:rsidRPr="00496987">
              <w:t xml:space="preserve">рублей </w:t>
            </w:r>
            <w:r>
              <w:t>сорок пять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C41912" w:rsidRDefault="00C4191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Default="008565D9" w:rsidP="008012D0">
      <w:pPr>
        <w:widowControl w:val="0"/>
        <w:ind w:firstLine="567"/>
        <w:contextualSpacing/>
        <w:jc w:val="both"/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D229EF" w:rsidRPr="00496987" w:rsidRDefault="00D229EF" w:rsidP="008012D0">
      <w:pPr>
        <w:widowControl w:val="0"/>
        <w:ind w:firstLine="567"/>
        <w:contextualSpacing/>
        <w:jc w:val="both"/>
        <w:rPr>
          <w:color w:val="000000"/>
        </w:rPr>
      </w:pP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C41912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p w:rsidR="00D229EF" w:rsidRDefault="00D229EF" w:rsidP="008012D0">
      <w:pPr>
        <w:ind w:firstLine="567"/>
        <w:contextualSpacing/>
        <w:jc w:val="both"/>
        <w:rPr>
          <w:color w:val="000000"/>
        </w:rPr>
      </w:pPr>
    </w:p>
    <w:p w:rsidR="00D229EF" w:rsidRDefault="00D229EF" w:rsidP="008012D0">
      <w:pPr>
        <w:ind w:firstLine="567"/>
        <w:contextualSpacing/>
        <w:jc w:val="both"/>
        <w:rPr>
          <w:color w:val="000000"/>
        </w:rPr>
      </w:pPr>
    </w:p>
    <w:p w:rsidR="00D229EF" w:rsidRPr="00496987" w:rsidRDefault="00D229EF" w:rsidP="008012D0">
      <w:pPr>
        <w:ind w:firstLine="567"/>
        <w:contextualSpacing/>
        <w:jc w:val="both"/>
        <w:rPr>
          <w:color w:val="000000"/>
        </w:rPr>
      </w:pP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D229EF" w:rsidRPr="00496987" w:rsidTr="009F7793">
        <w:trPr>
          <w:trHeight w:val="2765"/>
        </w:trPr>
        <w:tc>
          <w:tcPr>
            <w:tcW w:w="731" w:type="dxa"/>
          </w:tcPr>
          <w:p w:rsidR="00D229EF" w:rsidRPr="00496987" w:rsidRDefault="00D229EF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D229EF" w:rsidRPr="00D229EF" w:rsidRDefault="00D229EF" w:rsidP="00942A2C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1:</w:t>
            </w:r>
          </w:p>
          <w:p w:rsidR="00D229EF" w:rsidRPr="00D229EF" w:rsidRDefault="00D229EF" w:rsidP="00942A2C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229EF">
              <w:t>земельный участок с кадастровым номером 22:41:011401:453, площадью 47188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Верх - Обский сельсовет, северная окраина п. Красный Маяк, цель использования: для сельскохозяйственного использования</w:t>
            </w:r>
          </w:p>
        </w:tc>
        <w:tc>
          <w:tcPr>
            <w:tcW w:w="2341" w:type="dxa"/>
          </w:tcPr>
          <w:p w:rsidR="00D229EF" w:rsidRPr="00094B61" w:rsidRDefault="00D229EF" w:rsidP="00942A2C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t>4577,24 руб. (Четыре тысячи пятьсот семьдесят семь рублей двадцать четыре копейки).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171" w:type="dxa"/>
          </w:tcPr>
          <w:p w:rsidR="00D229EF" w:rsidRPr="00496987" w:rsidRDefault="00D229EF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D229EF" w:rsidRPr="00C16F18" w:rsidRDefault="00D229EF" w:rsidP="009F7793">
            <w:pPr>
              <w:tabs>
                <w:tab w:val="left" w:pos="5488"/>
              </w:tabs>
              <w:contextualSpacing/>
              <w:jc w:val="center"/>
            </w:pPr>
            <w:r>
              <w:t>137,32 руб.</w:t>
            </w:r>
          </w:p>
        </w:tc>
      </w:tr>
    </w:tbl>
    <w:p w:rsidR="00165CAA" w:rsidRDefault="00165CA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F22C1E" w:rsidRDefault="00F22C1E" w:rsidP="00F22C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</w:t>
      </w:r>
      <w:r w:rsidRPr="00496987">
        <w:lastRenderedPageBreak/>
        <w:t>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04282" w:rsidRDefault="00D04282" w:rsidP="003624B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624B8" w:rsidRPr="002A615C" w:rsidRDefault="003624B8" w:rsidP="003624B8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3624B8" w:rsidRPr="0089624A" w:rsidRDefault="003624B8" w:rsidP="003624B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3624B8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5 000 рублей, без учета НДС.</w:t>
      </w:r>
    </w:p>
    <w:p w:rsidR="003624B8" w:rsidRPr="00CF3C9B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>
        <w:t>.</w:t>
      </w:r>
    </w:p>
    <w:sectPr w:rsidR="003624B8" w:rsidRPr="00CF3C9B" w:rsidSect="00D04282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63" w:rsidRDefault="001F3C63">
      <w:r>
        <w:separator/>
      </w:r>
    </w:p>
  </w:endnote>
  <w:endnote w:type="continuationSeparator" w:id="1">
    <w:p w:rsidR="001F3C63" w:rsidRDefault="001F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63" w:rsidRDefault="001F3C63">
      <w:r>
        <w:separator/>
      </w:r>
    </w:p>
  </w:footnote>
  <w:footnote w:type="continuationSeparator" w:id="1">
    <w:p w:rsidR="001F3C63" w:rsidRDefault="001F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040D0E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29EF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40872B2A"/>
    <w:multiLevelType w:val="multilevel"/>
    <w:tmpl w:val="2F7E7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1B6E"/>
    <w:rsid w:val="00037528"/>
    <w:rsid w:val="00040D0E"/>
    <w:rsid w:val="00047050"/>
    <w:rsid w:val="000533F6"/>
    <w:rsid w:val="00056C54"/>
    <w:rsid w:val="000743B6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65CAA"/>
    <w:rsid w:val="00182281"/>
    <w:rsid w:val="00190EA5"/>
    <w:rsid w:val="001E1D3F"/>
    <w:rsid w:val="001F3C63"/>
    <w:rsid w:val="00200726"/>
    <w:rsid w:val="002043A8"/>
    <w:rsid w:val="0020521B"/>
    <w:rsid w:val="00223078"/>
    <w:rsid w:val="0024495C"/>
    <w:rsid w:val="00261FF7"/>
    <w:rsid w:val="00281538"/>
    <w:rsid w:val="0028277A"/>
    <w:rsid w:val="00287A2C"/>
    <w:rsid w:val="002A674C"/>
    <w:rsid w:val="002D62C2"/>
    <w:rsid w:val="002E2608"/>
    <w:rsid w:val="002F2298"/>
    <w:rsid w:val="0031387C"/>
    <w:rsid w:val="003624B8"/>
    <w:rsid w:val="00370A1E"/>
    <w:rsid w:val="003807AF"/>
    <w:rsid w:val="00392A42"/>
    <w:rsid w:val="003A02FA"/>
    <w:rsid w:val="00425B1C"/>
    <w:rsid w:val="00453D68"/>
    <w:rsid w:val="004E4FB3"/>
    <w:rsid w:val="005A0299"/>
    <w:rsid w:val="005B217A"/>
    <w:rsid w:val="005C5F27"/>
    <w:rsid w:val="005E06CE"/>
    <w:rsid w:val="005F0436"/>
    <w:rsid w:val="005F09C4"/>
    <w:rsid w:val="005F389F"/>
    <w:rsid w:val="00600F84"/>
    <w:rsid w:val="00602AAB"/>
    <w:rsid w:val="006520AF"/>
    <w:rsid w:val="006A7EEB"/>
    <w:rsid w:val="006C1360"/>
    <w:rsid w:val="006C2CE2"/>
    <w:rsid w:val="006D2488"/>
    <w:rsid w:val="006E1B24"/>
    <w:rsid w:val="00706259"/>
    <w:rsid w:val="00743477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C32C9"/>
    <w:rsid w:val="008E682A"/>
    <w:rsid w:val="008E7B3D"/>
    <w:rsid w:val="00905B13"/>
    <w:rsid w:val="00946202"/>
    <w:rsid w:val="00992855"/>
    <w:rsid w:val="0099445A"/>
    <w:rsid w:val="009A52D6"/>
    <w:rsid w:val="009F5A5F"/>
    <w:rsid w:val="00A54738"/>
    <w:rsid w:val="00A72652"/>
    <w:rsid w:val="00AA2620"/>
    <w:rsid w:val="00B422E6"/>
    <w:rsid w:val="00B47310"/>
    <w:rsid w:val="00BB7296"/>
    <w:rsid w:val="00BE1D72"/>
    <w:rsid w:val="00C16F18"/>
    <w:rsid w:val="00C37706"/>
    <w:rsid w:val="00C41912"/>
    <w:rsid w:val="00C9469D"/>
    <w:rsid w:val="00CB270F"/>
    <w:rsid w:val="00CC0C00"/>
    <w:rsid w:val="00CF3C9B"/>
    <w:rsid w:val="00D04282"/>
    <w:rsid w:val="00D06A26"/>
    <w:rsid w:val="00D071DC"/>
    <w:rsid w:val="00D229EF"/>
    <w:rsid w:val="00D74712"/>
    <w:rsid w:val="00D76D84"/>
    <w:rsid w:val="00DA03A1"/>
    <w:rsid w:val="00DC6228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B1471"/>
    <w:rsid w:val="00EB1D34"/>
    <w:rsid w:val="00EC6833"/>
    <w:rsid w:val="00EE3938"/>
    <w:rsid w:val="00EF0A59"/>
    <w:rsid w:val="00F22C1E"/>
    <w:rsid w:val="00F267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character" w:customStyle="1" w:styleId="tabstitle">
    <w:name w:val="tabs__title"/>
    <w:basedOn w:val="a0"/>
    <w:rsid w:val="003624B8"/>
  </w:style>
  <w:style w:type="character" w:customStyle="1" w:styleId="acor-bodytext">
    <w:name w:val="acor-body__text"/>
    <w:basedOn w:val="a0"/>
    <w:rsid w:val="003624B8"/>
  </w:style>
  <w:style w:type="paragraph" w:customStyle="1" w:styleId="s1">
    <w:name w:val="s_1"/>
    <w:basedOn w:val="a"/>
    <w:rsid w:val="00F22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29</cp:revision>
  <cp:lastPrinted>2025-02-03T02:41:00Z</cp:lastPrinted>
  <dcterms:created xsi:type="dcterms:W3CDTF">2020-04-16T03:22:00Z</dcterms:created>
  <dcterms:modified xsi:type="dcterms:W3CDTF">2025-02-03T02:41:00Z</dcterms:modified>
</cp:coreProperties>
</file>